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A1" w:rsidRDefault="005043A1">
      <w:pPr>
        <w:ind w:left="2835"/>
        <w:rPr>
          <w:b/>
          <w:sz w:val="22"/>
          <w:szCs w:val="22"/>
        </w:rPr>
      </w:pPr>
    </w:p>
    <w:p w:rsidR="005043A1" w:rsidRDefault="005043A1">
      <w:pPr>
        <w:ind w:left="2835"/>
        <w:rPr>
          <w:b/>
          <w:sz w:val="22"/>
          <w:szCs w:val="22"/>
        </w:rPr>
      </w:pPr>
    </w:p>
    <w:p w:rsidR="00866F67" w:rsidRDefault="007D0EAC">
      <w:pPr>
        <w:ind w:left="2835"/>
        <w:rPr>
          <w:b/>
          <w:color w:val="auto"/>
          <w:sz w:val="22"/>
          <w:szCs w:val="22"/>
        </w:rPr>
      </w:pPr>
      <w:r>
        <w:rPr>
          <w:b/>
          <w:color w:val="auto"/>
          <w:sz w:val="22"/>
          <w:szCs w:val="22"/>
        </w:rPr>
        <w:t>PEDIDO DE CÓ</w:t>
      </w:r>
      <w:r w:rsidR="005043A1" w:rsidRPr="007D0EAC">
        <w:rPr>
          <w:b/>
          <w:color w:val="auto"/>
          <w:sz w:val="22"/>
          <w:szCs w:val="22"/>
        </w:rPr>
        <w:t>PIA DO RELATÓRIO CIR</w:t>
      </w:r>
      <w:r w:rsidR="005D404C">
        <w:rPr>
          <w:b/>
          <w:color w:val="auto"/>
          <w:sz w:val="22"/>
          <w:szCs w:val="22"/>
        </w:rPr>
        <w:t>C</w:t>
      </w:r>
      <w:r w:rsidR="005043A1" w:rsidRPr="007D0EAC">
        <w:rPr>
          <w:b/>
          <w:color w:val="auto"/>
          <w:sz w:val="22"/>
          <w:szCs w:val="22"/>
        </w:rPr>
        <w:t>UNSTANCIADO REFERENTE À</w:t>
      </w:r>
      <w:r w:rsidR="00E60ECD" w:rsidRPr="007D0EAC">
        <w:rPr>
          <w:b/>
          <w:color w:val="auto"/>
          <w:sz w:val="22"/>
          <w:szCs w:val="22"/>
        </w:rPr>
        <w:t xml:space="preserve"> PORTARIA </w:t>
      </w:r>
      <w:r w:rsidR="005043A1" w:rsidRPr="007D0EAC">
        <w:rPr>
          <w:b/>
          <w:color w:val="auto"/>
          <w:sz w:val="22"/>
          <w:szCs w:val="22"/>
        </w:rPr>
        <w:t xml:space="preserve">Nº </w:t>
      </w:r>
      <w:r w:rsidR="00E60ECD" w:rsidRPr="007D0EAC">
        <w:rPr>
          <w:b/>
          <w:color w:val="auto"/>
          <w:sz w:val="22"/>
          <w:szCs w:val="22"/>
        </w:rPr>
        <w:t>275</w:t>
      </w:r>
      <w:r w:rsidR="00771802" w:rsidRPr="007D0EAC">
        <w:rPr>
          <w:b/>
          <w:color w:val="auto"/>
          <w:sz w:val="22"/>
          <w:szCs w:val="22"/>
        </w:rPr>
        <w:t>/</w:t>
      </w:r>
      <w:r w:rsidR="00067183" w:rsidRPr="007D0EAC">
        <w:rPr>
          <w:b/>
          <w:color w:val="auto"/>
          <w:sz w:val="22"/>
          <w:szCs w:val="22"/>
        </w:rPr>
        <w:t>2015</w:t>
      </w:r>
      <w:r w:rsidR="00E60ECD" w:rsidRPr="007D0EAC">
        <w:rPr>
          <w:b/>
          <w:color w:val="auto"/>
          <w:sz w:val="22"/>
          <w:szCs w:val="22"/>
        </w:rPr>
        <w:t>.</w:t>
      </w:r>
      <w:r w:rsidR="00075ED8" w:rsidRPr="007D0EAC">
        <w:rPr>
          <w:b/>
          <w:color w:val="auto"/>
          <w:sz w:val="22"/>
          <w:szCs w:val="22"/>
        </w:rPr>
        <w:t xml:space="preserve"> </w:t>
      </w:r>
      <w:r w:rsidR="00771802" w:rsidRPr="007D0EAC">
        <w:rPr>
          <w:b/>
          <w:color w:val="auto"/>
          <w:sz w:val="22"/>
          <w:szCs w:val="22"/>
        </w:rPr>
        <w:t>DOCUMENTO RELACIONADO</w:t>
      </w:r>
      <w:r w:rsidR="00582F57">
        <w:rPr>
          <w:b/>
          <w:color w:val="auto"/>
          <w:sz w:val="22"/>
          <w:szCs w:val="22"/>
        </w:rPr>
        <w:t xml:space="preserve"> À</w:t>
      </w:r>
      <w:r w:rsidR="00771802" w:rsidRPr="007D0EAC">
        <w:rPr>
          <w:b/>
          <w:color w:val="auto"/>
          <w:sz w:val="22"/>
          <w:szCs w:val="22"/>
        </w:rPr>
        <w:t xml:space="preserve"> SINDICÂNCIA DISCIPLINAR EM CURSO</w:t>
      </w:r>
      <w:r w:rsidR="00A25AE2" w:rsidRPr="007D0EAC">
        <w:rPr>
          <w:b/>
          <w:color w:val="auto"/>
          <w:sz w:val="22"/>
          <w:szCs w:val="22"/>
        </w:rPr>
        <w:t xml:space="preserve"> (PORTARIAS NºS 95 E 171/2017)</w:t>
      </w:r>
      <w:r w:rsidR="00771802" w:rsidRPr="007D0EAC">
        <w:rPr>
          <w:b/>
          <w:color w:val="auto"/>
          <w:sz w:val="22"/>
          <w:szCs w:val="22"/>
        </w:rPr>
        <w:t xml:space="preserve">. IMPOSSIBILIDADE. </w:t>
      </w:r>
      <w:r w:rsidR="00A25AE2" w:rsidRPr="007D0EAC">
        <w:rPr>
          <w:b/>
          <w:color w:val="auto"/>
          <w:sz w:val="22"/>
          <w:szCs w:val="22"/>
        </w:rPr>
        <w:t>A Administração Pública deve fornecer as informações de forma primária, íntegra e autêntica (arts. 4º da L</w:t>
      </w:r>
      <w:r w:rsidR="00582F57">
        <w:rPr>
          <w:b/>
          <w:color w:val="auto"/>
          <w:sz w:val="22"/>
          <w:szCs w:val="22"/>
        </w:rPr>
        <w:t>ei Federal nº 12.527/2011 (LAI)</w:t>
      </w:r>
      <w:r w:rsidR="00A25AE2" w:rsidRPr="007D0EAC">
        <w:rPr>
          <w:b/>
          <w:color w:val="auto"/>
          <w:sz w:val="22"/>
          <w:szCs w:val="22"/>
        </w:rPr>
        <w:t xml:space="preserve"> e do Decreto Estadual nº 49.111/12).</w:t>
      </w:r>
      <w:r w:rsidR="00E161BD" w:rsidRPr="007D0EAC">
        <w:rPr>
          <w:b/>
          <w:color w:val="auto"/>
          <w:sz w:val="22"/>
          <w:szCs w:val="22"/>
        </w:rPr>
        <w:t xml:space="preserve"> O fornecimento a terceiro de cópia</w:t>
      </w:r>
      <w:r w:rsidR="00A25AE2" w:rsidRPr="007D0EAC">
        <w:rPr>
          <w:b/>
          <w:color w:val="auto"/>
          <w:sz w:val="22"/>
          <w:szCs w:val="22"/>
        </w:rPr>
        <w:t xml:space="preserve"> </w:t>
      </w:r>
      <w:r w:rsidR="00E161BD" w:rsidRPr="007D0EAC">
        <w:rPr>
          <w:b/>
          <w:color w:val="auto"/>
          <w:sz w:val="22"/>
          <w:szCs w:val="22"/>
        </w:rPr>
        <w:t>do relatório circunstanciado de sindicância ou processo disciplinar ainda não concluído não se mostra possível, seja por determinação legal, art. 207 da Lei Complementar Estadual nº 10.098/94, seja por se tratar de documento que pode envolver informação de caráter pessoal, relativa à honra e imagem de eventuais pessoas investigadas</w:t>
      </w:r>
      <w:r w:rsidR="002766B7" w:rsidRPr="007D0EAC">
        <w:rPr>
          <w:b/>
          <w:color w:val="auto"/>
          <w:sz w:val="22"/>
          <w:szCs w:val="22"/>
        </w:rPr>
        <w:t xml:space="preserve"> (art. 31 da LAI)</w:t>
      </w:r>
      <w:r w:rsidR="00E161BD" w:rsidRPr="007D0EAC">
        <w:rPr>
          <w:b/>
          <w:color w:val="auto"/>
          <w:sz w:val="22"/>
          <w:szCs w:val="22"/>
        </w:rPr>
        <w:t>, seja ainda por se tratar de procedimento não concluído, art. 7º, § 3º, da LAI.</w:t>
      </w:r>
      <w:r w:rsidR="00582F57">
        <w:rPr>
          <w:b/>
          <w:color w:val="auto"/>
          <w:sz w:val="22"/>
          <w:szCs w:val="22"/>
        </w:rPr>
        <w:t xml:space="preserve"> VENCIDO O RELATOR. </w:t>
      </w:r>
      <w:r w:rsidR="005043A1" w:rsidRPr="007D0EAC">
        <w:rPr>
          <w:b/>
          <w:color w:val="auto"/>
          <w:sz w:val="22"/>
          <w:szCs w:val="22"/>
        </w:rPr>
        <w:t xml:space="preserve">RECURSO </w:t>
      </w:r>
      <w:r w:rsidR="00771802" w:rsidRPr="007D0EAC">
        <w:rPr>
          <w:b/>
          <w:color w:val="auto"/>
          <w:sz w:val="22"/>
          <w:szCs w:val="22"/>
        </w:rPr>
        <w:t>DES</w:t>
      </w:r>
      <w:r w:rsidR="005043A1" w:rsidRPr="007D0EAC">
        <w:rPr>
          <w:b/>
          <w:color w:val="auto"/>
          <w:sz w:val="22"/>
          <w:szCs w:val="22"/>
        </w:rPr>
        <w:t>PROVIDO</w:t>
      </w:r>
      <w:r w:rsidR="00771802" w:rsidRPr="007D0EAC">
        <w:rPr>
          <w:b/>
          <w:color w:val="auto"/>
          <w:sz w:val="22"/>
          <w:szCs w:val="22"/>
        </w:rPr>
        <w:t xml:space="preserve">, </w:t>
      </w:r>
      <w:r w:rsidR="005043A1" w:rsidRPr="007D0EAC">
        <w:rPr>
          <w:b/>
          <w:color w:val="auto"/>
          <w:sz w:val="22"/>
          <w:szCs w:val="22"/>
        </w:rPr>
        <w:t xml:space="preserve">POR </w:t>
      </w:r>
      <w:r w:rsidR="00771802" w:rsidRPr="007D0EAC">
        <w:rPr>
          <w:b/>
          <w:color w:val="auto"/>
          <w:sz w:val="22"/>
          <w:szCs w:val="22"/>
        </w:rPr>
        <w:t>MAIORIA</w:t>
      </w:r>
      <w:r w:rsidR="005043A1" w:rsidRPr="007D0EAC">
        <w:rPr>
          <w:b/>
          <w:color w:val="auto"/>
          <w:sz w:val="22"/>
          <w:szCs w:val="22"/>
        </w:rPr>
        <w:t>.</w:t>
      </w:r>
      <w:r w:rsidR="00582F57">
        <w:rPr>
          <w:b/>
          <w:color w:val="auto"/>
          <w:sz w:val="22"/>
          <w:szCs w:val="22"/>
        </w:rPr>
        <w:t xml:space="preserve"> </w:t>
      </w:r>
    </w:p>
    <w:p w:rsidR="007D0EAC" w:rsidRPr="007D0EAC" w:rsidRDefault="007D0EAC">
      <w:pPr>
        <w:ind w:left="2835"/>
        <w:rPr>
          <w:color w:val="auto"/>
        </w:rPr>
      </w:pPr>
    </w:p>
    <w:p w:rsidR="00866F67" w:rsidRDefault="00866F67"/>
    <w:tbl>
      <w:tblPr>
        <w:tblW w:w="8645" w:type="dxa"/>
        <w:tblCellMar>
          <w:left w:w="70" w:type="dxa"/>
          <w:right w:w="70" w:type="dxa"/>
        </w:tblCellMar>
        <w:tblLook w:val="0000"/>
      </w:tblPr>
      <w:tblGrid>
        <w:gridCol w:w="4322"/>
        <w:gridCol w:w="4323"/>
      </w:tblGrid>
      <w:tr w:rsidR="00866F67" w:rsidRPr="005043A1" w:rsidTr="00E92F97">
        <w:tc>
          <w:tcPr>
            <w:tcW w:w="4322" w:type="dxa"/>
            <w:shd w:val="clear" w:color="auto" w:fill="auto"/>
          </w:tcPr>
          <w:p w:rsidR="00866F67" w:rsidRPr="005043A1" w:rsidRDefault="005043A1">
            <w:pPr>
              <w:pStyle w:val="DadosCadastrais"/>
              <w:rPr>
                <w:b/>
              </w:rPr>
            </w:pPr>
            <w:r>
              <w:rPr>
                <w:b/>
              </w:rPr>
              <w:t>recurso</w:t>
            </w:r>
          </w:p>
          <w:p w:rsidR="00866F67" w:rsidRPr="005043A1" w:rsidRDefault="00866F67">
            <w:pPr>
              <w:pStyle w:val="DadosCadastrais"/>
              <w:rPr>
                <w:b/>
              </w:rPr>
            </w:pPr>
          </w:p>
        </w:tc>
        <w:tc>
          <w:tcPr>
            <w:tcW w:w="4323" w:type="dxa"/>
            <w:shd w:val="clear" w:color="auto" w:fill="auto"/>
          </w:tcPr>
          <w:p w:rsidR="00866F67" w:rsidRPr="005043A1" w:rsidRDefault="00866F67">
            <w:pPr>
              <w:pStyle w:val="DadosCadastrais"/>
              <w:jc w:val="right"/>
              <w:rPr>
                <w:b/>
              </w:rPr>
            </w:pPr>
          </w:p>
        </w:tc>
      </w:tr>
      <w:tr w:rsidR="00866F67" w:rsidRPr="005043A1" w:rsidTr="00E92F97">
        <w:tc>
          <w:tcPr>
            <w:tcW w:w="4322" w:type="dxa"/>
            <w:shd w:val="clear" w:color="auto" w:fill="auto"/>
          </w:tcPr>
          <w:p w:rsidR="00866F67" w:rsidRPr="005043A1" w:rsidRDefault="00075ED8" w:rsidP="003D557D">
            <w:pPr>
              <w:pStyle w:val="DadosCadastrais"/>
              <w:rPr>
                <w:b/>
              </w:rPr>
            </w:pPr>
            <w:r w:rsidRPr="005043A1">
              <w:rPr>
                <w:b/>
              </w:rPr>
              <w:t xml:space="preserve">DEMANDA Nº </w:t>
            </w:r>
            <w:r w:rsidR="003D557D" w:rsidRPr="005043A1">
              <w:rPr>
                <w:b/>
              </w:rPr>
              <w:t>17</w:t>
            </w:r>
            <w:r w:rsidR="005043A1" w:rsidRPr="005043A1">
              <w:rPr>
                <w:b/>
              </w:rPr>
              <w:t>.</w:t>
            </w:r>
            <w:r w:rsidR="003D557D" w:rsidRPr="005043A1">
              <w:rPr>
                <w:b/>
              </w:rPr>
              <w:t>071</w:t>
            </w:r>
          </w:p>
        </w:tc>
        <w:tc>
          <w:tcPr>
            <w:tcW w:w="4323" w:type="dxa"/>
            <w:shd w:val="clear" w:color="auto" w:fill="auto"/>
          </w:tcPr>
          <w:p w:rsidR="00866F67" w:rsidRPr="005043A1" w:rsidRDefault="00075ED8" w:rsidP="00E60ECD">
            <w:pPr>
              <w:pStyle w:val="DadosCadastrais"/>
              <w:rPr>
                <w:b/>
              </w:rPr>
            </w:pPr>
            <w:r w:rsidRPr="005043A1">
              <w:rPr>
                <w:b/>
              </w:rPr>
              <w:t xml:space="preserve">                                    </w:t>
            </w:r>
            <w:r w:rsidR="00E60ECD" w:rsidRPr="005043A1">
              <w:rPr>
                <w:b/>
              </w:rPr>
              <w:t xml:space="preserve">  SEDUC</w:t>
            </w:r>
          </w:p>
          <w:p w:rsidR="003D557D" w:rsidRPr="005043A1" w:rsidRDefault="003D557D" w:rsidP="00E60ECD">
            <w:pPr>
              <w:pStyle w:val="DadosCadastrais"/>
              <w:rPr>
                <w:b/>
              </w:rPr>
            </w:pPr>
          </w:p>
        </w:tc>
      </w:tr>
      <w:tr w:rsidR="00866F67" w:rsidRPr="005043A1" w:rsidTr="00E92F97">
        <w:tc>
          <w:tcPr>
            <w:tcW w:w="4322" w:type="dxa"/>
            <w:shd w:val="clear" w:color="auto" w:fill="auto"/>
          </w:tcPr>
          <w:p w:rsidR="00866F67" w:rsidRPr="005043A1" w:rsidRDefault="00E60ECD">
            <w:pPr>
              <w:pStyle w:val="DadosCadastrais"/>
              <w:rPr>
                <w:b/>
              </w:rPr>
            </w:pPr>
            <w:r w:rsidRPr="005043A1">
              <w:rPr>
                <w:b/>
              </w:rPr>
              <w:t>fabiana smith</w:t>
            </w:r>
          </w:p>
        </w:tc>
        <w:tc>
          <w:tcPr>
            <w:tcW w:w="4323" w:type="dxa"/>
            <w:shd w:val="clear" w:color="auto" w:fill="auto"/>
          </w:tcPr>
          <w:p w:rsidR="00866F67" w:rsidRPr="005043A1" w:rsidRDefault="007D0EAC" w:rsidP="007D0EAC">
            <w:pPr>
              <w:pStyle w:val="DadosCadastrais"/>
              <w:rPr>
                <w:b/>
              </w:rPr>
            </w:pPr>
            <w:r>
              <w:rPr>
                <w:b/>
              </w:rPr>
              <w:t xml:space="preserve">                                     </w:t>
            </w:r>
            <w:r w:rsidR="00075ED8" w:rsidRPr="005043A1">
              <w:rPr>
                <w:b/>
              </w:rPr>
              <w:t>DEMANDANTE</w:t>
            </w:r>
          </w:p>
        </w:tc>
      </w:tr>
    </w:tbl>
    <w:p w:rsidR="00866F67" w:rsidRDefault="00866F67"/>
    <w:p w:rsidR="003D557D" w:rsidRDefault="003D557D"/>
    <w:p w:rsidR="00866F67" w:rsidRDefault="00075ED8">
      <w:pPr>
        <w:pStyle w:val="TtuloPrincipal"/>
      </w:pPr>
      <w:r>
        <w:t>DECISÃO</w:t>
      </w:r>
    </w:p>
    <w:p w:rsidR="00E60ECD" w:rsidRDefault="00E60ECD">
      <w:pPr>
        <w:pStyle w:val="PargrafoNormal"/>
        <w:spacing w:after="0"/>
      </w:pPr>
    </w:p>
    <w:p w:rsidR="003D557D" w:rsidRDefault="00075ED8" w:rsidP="005043A1">
      <w:pPr>
        <w:pStyle w:val="PargrafoNormal"/>
        <w:spacing w:after="0"/>
      </w:pPr>
      <w:r>
        <w:t xml:space="preserve">Vista, relatada e discutida a demanda. </w:t>
      </w:r>
    </w:p>
    <w:p w:rsidR="003D557D" w:rsidRPr="00582F57" w:rsidRDefault="00075ED8" w:rsidP="005043A1">
      <w:pPr>
        <w:pStyle w:val="PargrafoNormal"/>
        <w:spacing w:after="0"/>
        <w:rPr>
          <w:color w:val="auto"/>
        </w:rPr>
      </w:pPr>
      <w:r>
        <w:t xml:space="preserve">Acordam os integrantes da Comissão Mista de Reavaliação de Informações – CMRI/RS, </w:t>
      </w:r>
      <w:r w:rsidRPr="00582F57">
        <w:rPr>
          <w:color w:val="auto"/>
        </w:rPr>
        <w:t xml:space="preserve">por </w:t>
      </w:r>
      <w:r w:rsidR="00771802" w:rsidRPr="00582F57">
        <w:rPr>
          <w:color w:val="auto"/>
        </w:rPr>
        <w:t>maioria</w:t>
      </w:r>
      <w:r w:rsidRPr="00582F57">
        <w:rPr>
          <w:color w:val="auto"/>
        </w:rPr>
        <w:t xml:space="preserve">, em </w:t>
      </w:r>
      <w:r w:rsidR="00771802" w:rsidRPr="00582F57">
        <w:rPr>
          <w:color w:val="auto"/>
        </w:rPr>
        <w:t>neg</w:t>
      </w:r>
      <w:r w:rsidRPr="00582F57">
        <w:rPr>
          <w:color w:val="auto"/>
        </w:rPr>
        <w:t xml:space="preserve">ar provimento ao </w:t>
      </w:r>
      <w:r w:rsidR="00D421C2" w:rsidRPr="00582F57">
        <w:rPr>
          <w:color w:val="auto"/>
        </w:rPr>
        <w:t>recurso</w:t>
      </w:r>
      <w:r w:rsidRPr="00582F57">
        <w:rPr>
          <w:color w:val="auto"/>
        </w:rPr>
        <w:t>.</w:t>
      </w:r>
      <w:r w:rsidR="00582F57" w:rsidRPr="00582F57">
        <w:rPr>
          <w:color w:val="auto"/>
        </w:rPr>
        <w:t xml:space="preserve"> Vencido o Relator.</w:t>
      </w:r>
    </w:p>
    <w:p w:rsidR="00582F57" w:rsidRDefault="00582F57" w:rsidP="005043A1">
      <w:pPr>
        <w:pStyle w:val="PargrafoNormal"/>
        <w:spacing w:after="0"/>
        <w:rPr>
          <w:color w:val="FF0000"/>
        </w:rPr>
      </w:pPr>
    </w:p>
    <w:p w:rsidR="00582F57" w:rsidRPr="005043A1" w:rsidRDefault="00582F57" w:rsidP="005043A1">
      <w:pPr>
        <w:pStyle w:val="PargrafoNormal"/>
        <w:spacing w:after="0"/>
        <w:rPr>
          <w:color w:val="FF0000"/>
        </w:rPr>
      </w:pPr>
    </w:p>
    <w:p w:rsidR="00500F0B" w:rsidRPr="006C50C5" w:rsidRDefault="00500F0B" w:rsidP="00500F0B">
      <w:pPr>
        <w:pStyle w:val="PargrafoNormal"/>
        <w:spacing w:after="0"/>
        <w:rPr>
          <w:color w:val="auto"/>
        </w:rPr>
      </w:pPr>
      <w:r w:rsidRPr="006C50C5">
        <w:rPr>
          <w:color w:val="auto"/>
        </w:rPr>
        <w:t>Participaram do julgamento, além do signatário, os representantes da Subchefia de Ética, Controle Público e Transparência da Secretaria da Casa Civil/RS, da Procuradoria-Geral do Estado, da Secretaria de Planejamento, Governança e Gestão, da Secretaria da Fazenda/CAGE, da Secretaria de Modernização Administrativa e dos Recursos Humanos/Arquivo Público do Estado, da Secretaria de Desenvolvimento Social, Trabalho, Justiça e Direitos Humanos e da Secretaria da Saúde.</w:t>
      </w:r>
    </w:p>
    <w:p w:rsidR="00500F0B" w:rsidRDefault="00500F0B" w:rsidP="00582F57">
      <w:pPr>
        <w:pStyle w:val="PargrafoNormal"/>
        <w:spacing w:after="0"/>
        <w:ind w:firstLine="0"/>
      </w:pPr>
    </w:p>
    <w:p w:rsidR="00500F0B" w:rsidRDefault="00500F0B" w:rsidP="00500F0B">
      <w:pPr>
        <w:pStyle w:val="PargrafoNormal"/>
        <w:spacing w:after="0" w:line="240" w:lineRule="auto"/>
        <w:jc w:val="center"/>
      </w:pPr>
    </w:p>
    <w:p w:rsidR="00866F67" w:rsidRDefault="00075ED8" w:rsidP="00500F0B">
      <w:pPr>
        <w:pStyle w:val="PargrafoNormal"/>
        <w:spacing w:after="0" w:line="240" w:lineRule="auto"/>
        <w:ind w:firstLine="0"/>
        <w:jc w:val="center"/>
      </w:pPr>
      <w:r>
        <w:t xml:space="preserve">Porto Alegre, </w:t>
      </w:r>
      <w:r w:rsidR="00582F57">
        <w:t>06 de fevereiro de 2018</w:t>
      </w:r>
      <w:r>
        <w:t>.</w:t>
      </w:r>
    </w:p>
    <w:p w:rsidR="00500F0B" w:rsidRDefault="00500F0B" w:rsidP="00500F0B">
      <w:pPr>
        <w:pStyle w:val="PargrafoNormal"/>
        <w:spacing w:after="0" w:line="240" w:lineRule="auto"/>
        <w:ind w:firstLine="0"/>
        <w:jc w:val="center"/>
      </w:pPr>
    </w:p>
    <w:p w:rsidR="00866F67" w:rsidRDefault="00866F67" w:rsidP="00582F57"/>
    <w:p w:rsidR="00866F67" w:rsidRDefault="00866F67" w:rsidP="00500F0B">
      <w:pPr>
        <w:jc w:val="center"/>
      </w:pPr>
    </w:p>
    <w:p w:rsidR="00866F67" w:rsidRDefault="00E60ECD" w:rsidP="00500F0B">
      <w:pPr>
        <w:pStyle w:val="Assinatura"/>
      </w:pPr>
      <w:r>
        <w:rPr>
          <w:caps w:val="0"/>
        </w:rPr>
        <w:t>SECRETARIA DE SEGURANÇA PÚBLICA</w:t>
      </w:r>
    </w:p>
    <w:p w:rsidR="00866F67" w:rsidRDefault="00075ED8" w:rsidP="00500F0B">
      <w:pPr>
        <w:pStyle w:val="Assinatura"/>
        <w:rPr>
          <w:caps w:val="0"/>
        </w:rPr>
      </w:pPr>
      <w:r>
        <w:rPr>
          <w:caps w:val="0"/>
        </w:rPr>
        <w:t>Relator.</w:t>
      </w:r>
    </w:p>
    <w:p w:rsidR="00866F67" w:rsidRDefault="00866F67">
      <w:pPr>
        <w:pStyle w:val="Assinatura"/>
        <w:spacing w:line="360" w:lineRule="auto"/>
        <w:rPr>
          <w:caps w:val="0"/>
        </w:rPr>
      </w:pPr>
    </w:p>
    <w:p w:rsidR="00866F67" w:rsidRDefault="00866F67">
      <w:pPr>
        <w:spacing w:line="360" w:lineRule="auto"/>
      </w:pPr>
    </w:p>
    <w:p w:rsidR="00866F67" w:rsidRDefault="00075ED8">
      <w:pPr>
        <w:pStyle w:val="TtuloPrincipal"/>
        <w:spacing w:before="0" w:after="0"/>
      </w:pPr>
      <w:r>
        <w:t>RELATÓRIO</w:t>
      </w:r>
    </w:p>
    <w:p w:rsidR="003D557D" w:rsidRDefault="00E60ECD" w:rsidP="00500F0B">
      <w:pPr>
        <w:pStyle w:val="NomeJulgadorPadro"/>
        <w:spacing w:after="0"/>
        <w:rPr>
          <w:b w:val="0"/>
          <w:caps w:val="0"/>
        </w:rPr>
      </w:pPr>
      <w:r>
        <w:rPr>
          <w:u w:val="single"/>
        </w:rPr>
        <w:t>SECRETARIA DE SEGURANÇA PÚBLICA</w:t>
      </w:r>
      <w:r w:rsidR="00075ED8">
        <w:rPr>
          <w:u w:val="single"/>
        </w:rPr>
        <w:t xml:space="preserve"> (RElATOR)</w:t>
      </w:r>
      <w:r w:rsidR="00075ED8">
        <w:rPr>
          <w:b w:val="0"/>
          <w:caps w:val="0"/>
          <w:u w:val="single"/>
        </w:rPr>
        <w:t xml:space="preserve"> –</w:t>
      </w:r>
      <w:r w:rsidR="00075ED8">
        <w:rPr>
          <w:b w:val="0"/>
          <w:caps w:val="0"/>
        </w:rPr>
        <w:t xml:space="preserve"> </w:t>
      </w:r>
    </w:p>
    <w:p w:rsidR="00500F0B" w:rsidRPr="00500F0B" w:rsidRDefault="00500F0B" w:rsidP="00500F0B">
      <w:pPr>
        <w:pStyle w:val="NomeJulgadorPadro"/>
        <w:spacing w:after="0"/>
        <w:rPr>
          <w:b w:val="0"/>
          <w:caps w:val="0"/>
        </w:rPr>
      </w:pPr>
    </w:p>
    <w:p w:rsidR="00E60ECD" w:rsidRDefault="00075ED8" w:rsidP="00500F0B">
      <w:pPr>
        <w:pStyle w:val="PargrafoNormal"/>
        <w:spacing w:after="0"/>
      </w:pPr>
      <w:r>
        <w:t xml:space="preserve">Trata-se de pedido </w:t>
      </w:r>
      <w:r w:rsidR="00500F0B">
        <w:t xml:space="preserve">de cópia de </w:t>
      </w:r>
      <w:r w:rsidR="008B546C">
        <w:t xml:space="preserve">relatório circunstanciado </w:t>
      </w:r>
      <w:r w:rsidR="00500F0B">
        <w:t>referente à Portaria nº 275, publicada no DOE</w:t>
      </w:r>
      <w:r w:rsidR="009013E6">
        <w:t>/RS</w:t>
      </w:r>
      <w:r w:rsidR="00500F0B">
        <w:t xml:space="preserve"> de 10 de novembro de 2015</w:t>
      </w:r>
      <w:r w:rsidR="008B546C">
        <w:t xml:space="preserve">. </w:t>
      </w:r>
      <w:r w:rsidR="00500F0B">
        <w:t xml:space="preserve">A </w:t>
      </w:r>
      <w:r w:rsidR="009013E6">
        <w:t>mencionada</w:t>
      </w:r>
      <w:r w:rsidR="00500F0B">
        <w:t xml:space="preserve"> Portaria se reporta</w:t>
      </w:r>
      <w:r w:rsidR="009013E6">
        <w:t>ria</w:t>
      </w:r>
      <w:r w:rsidR="00500F0B">
        <w:t xml:space="preserve"> à </w:t>
      </w:r>
      <w:r w:rsidR="008B546C">
        <w:t xml:space="preserve">Sindicância </w:t>
      </w:r>
      <w:r w:rsidR="00500F0B">
        <w:t xml:space="preserve">onde estariam sendo apuradas possíveis irregularidades na </w:t>
      </w:r>
      <w:r w:rsidR="008B546C">
        <w:t xml:space="preserve">Escola Técnica </w:t>
      </w:r>
      <w:r w:rsidR="00500F0B">
        <w:t xml:space="preserve">Estadual Parobé (Expediente nº </w:t>
      </w:r>
      <w:r w:rsidR="008B546C">
        <w:t>0110609-1900/17-0</w:t>
      </w:r>
      <w:r w:rsidR="00500F0B">
        <w:t>)</w:t>
      </w:r>
      <w:r w:rsidR="008B546C">
        <w:t>.</w:t>
      </w:r>
    </w:p>
    <w:p w:rsidR="006C50C5" w:rsidRDefault="009013E6" w:rsidP="00582F57">
      <w:pPr>
        <w:pStyle w:val="PargrafoNormal"/>
        <w:spacing w:after="0"/>
      </w:pPr>
      <w:r w:rsidRPr="00582F57">
        <w:rPr>
          <w:color w:val="auto"/>
        </w:rPr>
        <w:lastRenderedPageBreak/>
        <w:t xml:space="preserve">Em </w:t>
      </w:r>
      <w:r w:rsidR="008B546C" w:rsidRPr="00582F57">
        <w:rPr>
          <w:color w:val="auto"/>
        </w:rPr>
        <w:t>14/07/2017</w:t>
      </w:r>
      <w:r w:rsidR="008F6551" w:rsidRPr="00582F57">
        <w:rPr>
          <w:color w:val="auto"/>
        </w:rPr>
        <w:t>, com 01 (um) dia de atraso do prazo legal de resposta (até 30 dias)</w:t>
      </w:r>
      <w:r w:rsidR="006C50C5" w:rsidRPr="00582F57">
        <w:rPr>
          <w:rStyle w:val="Refdenotaderodap"/>
          <w:color w:val="auto"/>
        </w:rPr>
        <w:footnoteReference w:id="2"/>
      </w:r>
      <w:r w:rsidR="008F6551" w:rsidRPr="00582F57">
        <w:rPr>
          <w:color w:val="auto"/>
        </w:rPr>
        <w:t>,</w:t>
      </w:r>
      <w:r w:rsidRPr="00582F57">
        <w:rPr>
          <w:color w:val="auto"/>
        </w:rPr>
        <w:t xml:space="preserve"> a Secretaria</w:t>
      </w:r>
      <w:r>
        <w:t xml:space="preserve"> da Educação </w:t>
      </w:r>
      <w:r w:rsidR="008F6551">
        <w:t xml:space="preserve">acabou por não fornecer </w:t>
      </w:r>
      <w:r>
        <w:t>a cópia solicitada pela Demandante, alegando que a Sindicância estaria</w:t>
      </w:r>
      <w:r w:rsidR="008B546C">
        <w:t xml:space="preserve"> em curso,</w:t>
      </w:r>
      <w:r>
        <w:t xml:space="preserve"> na fase de oitivas. Sustenta o sigilo</w:t>
      </w:r>
      <w:r w:rsidR="008F6551">
        <w:t xml:space="preserve"> do procedimento não concluído e consigna que o </w:t>
      </w:r>
      <w:r>
        <w:t xml:space="preserve">fornecimento da informação poderia </w:t>
      </w:r>
      <w:r w:rsidR="008B546C">
        <w:t>prejudicar o andamento do feito.</w:t>
      </w:r>
      <w:r>
        <w:t xml:space="preserve"> </w:t>
      </w:r>
    </w:p>
    <w:p w:rsidR="008F6551" w:rsidRDefault="008F6551" w:rsidP="008F6551">
      <w:pPr>
        <w:pStyle w:val="PargrafoNormal"/>
        <w:spacing w:after="0"/>
      </w:pPr>
      <w:r>
        <w:t>Em 17/07/2017, a Demandante encaminhou o pedido de reexame da resposta</w:t>
      </w:r>
      <w:r w:rsidRPr="008F6551">
        <w:t xml:space="preserve"> </w:t>
      </w:r>
      <w:r>
        <w:t>referindo que a justificativa apresentada para o não fornecimento da informação (existência de Sindicância) não deveria prosperar, sugerindo que não teria sido observado o prazo legal para a sua conclusão, nos termos dos arts. 201 e 212 da Lei Complementar nº 10.098/94 (30 dias prorrogáveis por igual período).</w:t>
      </w:r>
      <w:r w:rsidRPr="00A51D01">
        <w:t xml:space="preserve"> </w:t>
      </w:r>
      <w:r>
        <w:t>Também sustenta que a informação solicitada não estaria, nos termos da Lei Federal nº 12.527/2011 (LAI), classificada em grau de sigilo</w:t>
      </w:r>
      <w:r w:rsidRPr="00A51D01">
        <w:t>.</w:t>
      </w:r>
    </w:p>
    <w:p w:rsidR="00866F67" w:rsidRDefault="008F6551" w:rsidP="00DF5B53">
      <w:pPr>
        <w:pStyle w:val="PargrafoNormal"/>
        <w:spacing w:after="0"/>
      </w:pPr>
      <w:r>
        <w:t xml:space="preserve">Em 24/07/2017, a autoridade máxima do órgão Demandado respondeu o reexame, oportunidade em que ratificou </w:t>
      </w:r>
      <w:r w:rsidR="00075C59">
        <w:t xml:space="preserve">a resposta </w:t>
      </w:r>
      <w:r>
        <w:t xml:space="preserve">inicialmente dada à cidadã. Alegou </w:t>
      </w:r>
      <w:r w:rsidR="00980A3D">
        <w:t>não ser</w:t>
      </w:r>
      <w:r w:rsidR="00075C59">
        <w:t xml:space="preserve"> possível </w:t>
      </w:r>
      <w:r w:rsidR="003D557D">
        <w:t>entregar</w:t>
      </w:r>
      <w:r w:rsidR="00075C59">
        <w:t xml:space="preserve"> </w:t>
      </w:r>
      <w:r>
        <w:t xml:space="preserve">a cópia solicitada, uma vez que </w:t>
      </w:r>
      <w:r w:rsidR="00075C59">
        <w:t>tramita</w:t>
      </w:r>
      <w:r>
        <w:t>ria</w:t>
      </w:r>
      <w:r w:rsidR="00075C59">
        <w:t xml:space="preserve"> na 1</w:t>
      </w:r>
      <w:r w:rsidR="003D557D">
        <w:t>°</w:t>
      </w:r>
      <w:r w:rsidR="00075C59">
        <w:t xml:space="preserve"> Coordenadoria Regional de Educação</w:t>
      </w:r>
      <w:r>
        <w:t xml:space="preserve"> (CRE) o E</w:t>
      </w:r>
      <w:r w:rsidR="00075C59">
        <w:t>xped</w:t>
      </w:r>
      <w:r>
        <w:t>iente A</w:t>
      </w:r>
      <w:r w:rsidR="00075C59">
        <w:t>dministrativo n</w:t>
      </w:r>
      <w:r w:rsidR="003D557D">
        <w:t>°</w:t>
      </w:r>
      <w:r w:rsidR="00075C59">
        <w:t xml:space="preserve"> 010609-1900/17-0</w:t>
      </w:r>
      <w:r>
        <w:t xml:space="preserve"> (Sindicância)</w:t>
      </w:r>
      <w:r w:rsidR="00075C59">
        <w:t>,</w:t>
      </w:r>
      <w:r w:rsidR="00980A3D">
        <w:t xml:space="preserve"> </w:t>
      </w:r>
      <w:r>
        <w:t xml:space="preserve">cujo objeto seria a apuração de </w:t>
      </w:r>
      <w:r w:rsidR="00980A3D">
        <w:t xml:space="preserve">possíveis irregularidades na Escola Técnica </w:t>
      </w:r>
      <w:r>
        <w:t xml:space="preserve">Estadual </w:t>
      </w:r>
      <w:r w:rsidR="00980A3D">
        <w:t>Parobé e que o fornecimento da</w:t>
      </w:r>
      <w:r w:rsidR="00CC60F5">
        <w:t>s informações solicitadas pela D</w:t>
      </w:r>
      <w:r w:rsidR="00980A3D">
        <w:t>emandante poderia prejudicar o exame do feito.</w:t>
      </w:r>
      <w:r w:rsidR="00075C59">
        <w:t xml:space="preserve"> </w:t>
      </w:r>
    </w:p>
    <w:p w:rsidR="003D557D" w:rsidRDefault="00075ED8" w:rsidP="00DF5B53">
      <w:pPr>
        <w:pStyle w:val="PargrafoNormal"/>
        <w:spacing w:after="0"/>
      </w:pPr>
      <w:r>
        <w:t xml:space="preserve">Veio </w:t>
      </w:r>
      <w:r w:rsidR="00E60ECD">
        <w:t>à</w:t>
      </w:r>
      <w:r>
        <w:t xml:space="preserve"> solicitação a esta CMRI/RS.</w:t>
      </w:r>
    </w:p>
    <w:p w:rsidR="00BA6B86" w:rsidRDefault="00075ED8" w:rsidP="00DF5B53">
      <w:pPr>
        <w:pStyle w:val="PargrafoNormal"/>
        <w:spacing w:after="0"/>
      </w:pPr>
      <w:r>
        <w:t>Após, foi a mim distribuído para julgamento.</w:t>
      </w:r>
    </w:p>
    <w:p w:rsidR="00866F67" w:rsidRDefault="00075ED8" w:rsidP="00500F0B">
      <w:pPr>
        <w:pStyle w:val="PargrafoNormal"/>
        <w:spacing w:after="0"/>
      </w:pPr>
      <w:r>
        <w:t>É o relatório.</w:t>
      </w:r>
    </w:p>
    <w:p w:rsidR="00BA6B86" w:rsidRDefault="00BA6B86" w:rsidP="00500F0B">
      <w:pPr>
        <w:pStyle w:val="TtuloPrincipal"/>
        <w:spacing w:before="0" w:after="0"/>
      </w:pPr>
    </w:p>
    <w:p w:rsidR="00866F67" w:rsidRDefault="00075ED8" w:rsidP="00500F0B">
      <w:pPr>
        <w:pStyle w:val="TtuloPrincipal"/>
        <w:spacing w:before="0" w:after="0"/>
      </w:pPr>
      <w:r>
        <w:t>VOTOS</w:t>
      </w:r>
    </w:p>
    <w:p w:rsidR="00BA6B86" w:rsidRDefault="00BA6B86" w:rsidP="00500F0B">
      <w:pPr>
        <w:pStyle w:val="NomeJulgadorPadro"/>
        <w:spacing w:after="0"/>
        <w:rPr>
          <w:u w:val="single"/>
        </w:rPr>
      </w:pPr>
    </w:p>
    <w:p w:rsidR="00BA6B86" w:rsidRDefault="00980A3D" w:rsidP="00D62827">
      <w:pPr>
        <w:pStyle w:val="NomeJulgadorPadro"/>
        <w:spacing w:after="0"/>
        <w:rPr>
          <w:b w:val="0"/>
          <w:caps w:val="0"/>
        </w:rPr>
      </w:pPr>
      <w:r>
        <w:rPr>
          <w:u w:val="single"/>
        </w:rPr>
        <w:t>SECRETARIA DA SEGURANÇA PÚBLICA</w:t>
      </w:r>
      <w:r w:rsidR="00075ED8">
        <w:rPr>
          <w:u w:val="single"/>
        </w:rPr>
        <w:t xml:space="preserve"> (RElATOR)</w:t>
      </w:r>
      <w:r w:rsidR="00075ED8">
        <w:rPr>
          <w:b w:val="0"/>
          <w:caps w:val="0"/>
          <w:u w:val="single"/>
        </w:rPr>
        <w:t xml:space="preserve"> –</w:t>
      </w:r>
      <w:r w:rsidR="00075ED8">
        <w:rPr>
          <w:b w:val="0"/>
          <w:caps w:val="0"/>
        </w:rPr>
        <w:t xml:space="preserve"> </w:t>
      </w:r>
    </w:p>
    <w:p w:rsidR="00D62827" w:rsidRDefault="00D62827" w:rsidP="00D62827">
      <w:pPr>
        <w:pStyle w:val="NomeJulgadorPadro"/>
        <w:spacing w:after="0"/>
      </w:pPr>
    </w:p>
    <w:p w:rsidR="006C50C5" w:rsidRDefault="00075ED8" w:rsidP="00D62827">
      <w:pPr>
        <w:suppressAutoHyphens/>
        <w:spacing w:line="360" w:lineRule="auto"/>
        <w:ind w:firstLine="1418"/>
        <w:rPr>
          <w:lang w:eastAsia="ar-SA"/>
        </w:rPr>
      </w:pPr>
      <w:r>
        <w:rPr>
          <w:lang w:eastAsia="ar-SA"/>
        </w:rPr>
        <w:t>Eminentes Colegas.</w:t>
      </w:r>
    </w:p>
    <w:p w:rsidR="0079496C" w:rsidRDefault="00980A3D" w:rsidP="006C50C5">
      <w:pPr>
        <w:suppressAutoHyphens/>
        <w:spacing w:line="360" w:lineRule="auto"/>
        <w:ind w:firstLine="1418"/>
        <w:rPr>
          <w:lang w:eastAsia="ar-SA"/>
        </w:rPr>
      </w:pPr>
      <w:r>
        <w:rPr>
          <w:lang w:eastAsia="ar-SA"/>
        </w:rPr>
        <w:t xml:space="preserve">A </w:t>
      </w:r>
      <w:r w:rsidR="00DF5B53">
        <w:rPr>
          <w:lang w:eastAsia="ar-SA"/>
        </w:rPr>
        <w:t>Demandante vem encaminhando,</w:t>
      </w:r>
      <w:r w:rsidR="00DF5B53" w:rsidRPr="00DF5B53">
        <w:rPr>
          <w:lang w:eastAsia="ar-SA"/>
        </w:rPr>
        <w:t xml:space="preserve"> </w:t>
      </w:r>
      <w:r w:rsidR="00DF5B53">
        <w:rPr>
          <w:lang w:eastAsia="ar-SA"/>
        </w:rPr>
        <w:t>via Serviço de Informação</w:t>
      </w:r>
      <w:r w:rsidR="0079496C">
        <w:rPr>
          <w:lang w:eastAsia="ar-SA"/>
        </w:rPr>
        <w:t xml:space="preserve"> ao</w:t>
      </w:r>
      <w:r w:rsidR="00DF5B53">
        <w:rPr>
          <w:lang w:eastAsia="ar-SA"/>
        </w:rPr>
        <w:t xml:space="preserve"> Cidadão – SIC</w:t>
      </w:r>
      <w:r w:rsidR="0079496C">
        <w:rPr>
          <w:lang w:eastAsia="ar-SA"/>
        </w:rPr>
        <w:t>,</w:t>
      </w:r>
      <w:r w:rsidR="00DF5B53">
        <w:rPr>
          <w:lang w:eastAsia="ar-SA"/>
        </w:rPr>
        <w:t xml:space="preserve"> uma série de pedido</w:t>
      </w:r>
      <w:r w:rsidR="0079496C">
        <w:rPr>
          <w:lang w:eastAsia="ar-SA"/>
        </w:rPr>
        <w:t>s</w:t>
      </w:r>
      <w:r w:rsidR="00DF5B53">
        <w:rPr>
          <w:lang w:eastAsia="ar-SA"/>
        </w:rPr>
        <w:t xml:space="preserve"> de </w:t>
      </w:r>
      <w:r w:rsidR="0079496C">
        <w:rPr>
          <w:lang w:eastAsia="ar-SA"/>
        </w:rPr>
        <w:t xml:space="preserve">acesso e/ou cópia de documentos à Secretaria da Educação, fato que se deduz da grande quantidade de recursos que chegaram ao conhecimento desta Comissão. </w:t>
      </w:r>
      <w:r w:rsidR="00D62827">
        <w:rPr>
          <w:lang w:eastAsia="ar-SA"/>
        </w:rPr>
        <w:t xml:space="preserve">Entende-se, ainda, que </w:t>
      </w:r>
      <w:r w:rsidR="0079496C">
        <w:rPr>
          <w:lang w:eastAsia="ar-SA"/>
        </w:rPr>
        <w:t xml:space="preserve">o foco dos pedidos da Requerente reside na verificação da </w:t>
      </w:r>
      <w:r>
        <w:rPr>
          <w:lang w:eastAsia="ar-SA"/>
        </w:rPr>
        <w:t xml:space="preserve">existência de irregularidades na Escola Técnica </w:t>
      </w:r>
      <w:r w:rsidR="0079496C">
        <w:rPr>
          <w:lang w:eastAsia="ar-SA"/>
        </w:rPr>
        <w:t xml:space="preserve">Estadual </w:t>
      </w:r>
      <w:r>
        <w:rPr>
          <w:lang w:eastAsia="ar-SA"/>
        </w:rPr>
        <w:t>Parobé.</w:t>
      </w:r>
      <w:r w:rsidR="0079496C">
        <w:rPr>
          <w:lang w:eastAsia="ar-SA"/>
        </w:rPr>
        <w:t xml:space="preserve"> </w:t>
      </w:r>
    </w:p>
    <w:p w:rsidR="00BA6B86" w:rsidRDefault="0079496C" w:rsidP="00500F0B">
      <w:pPr>
        <w:suppressAutoHyphens/>
        <w:spacing w:line="360" w:lineRule="auto"/>
        <w:ind w:firstLine="1418"/>
      </w:pPr>
      <w:r>
        <w:rPr>
          <w:lang w:eastAsia="ar-SA"/>
        </w:rPr>
        <w:t>Segundo informações do próprio órgão Demandado, foi instaurada uma S</w:t>
      </w:r>
      <w:r w:rsidR="00980A3D">
        <w:rPr>
          <w:lang w:eastAsia="ar-SA"/>
        </w:rPr>
        <w:t>indicância</w:t>
      </w:r>
      <w:r>
        <w:rPr>
          <w:lang w:eastAsia="ar-SA"/>
        </w:rPr>
        <w:t xml:space="preserve"> </w:t>
      </w:r>
      <w:r>
        <w:t xml:space="preserve">para apurar possíveis </w:t>
      </w:r>
      <w:r w:rsidR="00980A3D">
        <w:t>irregularidades</w:t>
      </w:r>
      <w:r>
        <w:t xml:space="preserve"> na Escola Técnica Estadual Parobé</w:t>
      </w:r>
      <w:r w:rsidR="00F55142">
        <w:t xml:space="preserve"> </w:t>
      </w:r>
      <w:r w:rsidR="00F55142">
        <w:rPr>
          <w:lang w:eastAsia="ar-SA"/>
        </w:rPr>
        <w:t xml:space="preserve">(Expediente nº </w:t>
      </w:r>
      <w:r w:rsidR="00F55142">
        <w:t>010609-1900/17-0)</w:t>
      </w:r>
      <w:r>
        <w:t>, estando o procedimento na fase de oitivas</w:t>
      </w:r>
      <w:r w:rsidR="001425F6">
        <w:t xml:space="preserve">. Entende </w:t>
      </w:r>
      <w:r w:rsidR="0072136F">
        <w:t>o órgão Recorrido que</w:t>
      </w:r>
      <w:r w:rsidR="001425F6">
        <w:t>,</w:t>
      </w:r>
      <w:r w:rsidR="00BA6B86">
        <w:t xml:space="preserve"> caso sejam fornecidas informações</w:t>
      </w:r>
      <w:r>
        <w:t xml:space="preserve">/cópias </w:t>
      </w:r>
      <w:r w:rsidR="00576C04">
        <w:t xml:space="preserve">antes da </w:t>
      </w:r>
      <w:r>
        <w:t>conclusão do procedimento</w:t>
      </w:r>
      <w:r w:rsidR="00576C04">
        <w:t>,</w:t>
      </w:r>
      <w:r>
        <w:t xml:space="preserve"> a apuração poderia restar prejudicada. </w:t>
      </w:r>
    </w:p>
    <w:p w:rsidR="006C50C5" w:rsidRDefault="009C0371" w:rsidP="0022591D">
      <w:pPr>
        <w:suppressAutoHyphens/>
        <w:spacing w:line="360" w:lineRule="auto"/>
        <w:ind w:firstLine="1418"/>
      </w:pPr>
      <w:r>
        <w:t xml:space="preserve">Pois bem, a </w:t>
      </w:r>
      <w:r w:rsidR="00576C04">
        <w:t>S</w:t>
      </w:r>
      <w:r w:rsidR="00BA6B86">
        <w:t xml:space="preserve">indicância </w:t>
      </w:r>
      <w:r w:rsidR="001E4B78">
        <w:t>possui características que</w:t>
      </w:r>
      <w:r>
        <w:t>,</w:t>
      </w:r>
      <w:r w:rsidR="001E4B78">
        <w:t xml:space="preserve"> em determinadas situações</w:t>
      </w:r>
      <w:r>
        <w:t>, assemelha-se ao Inquérito P</w:t>
      </w:r>
      <w:r w:rsidR="001E4B78">
        <w:t>olicial quando trata de uma investigação preliminar</w:t>
      </w:r>
      <w:r>
        <w:t xml:space="preserve"> que dará azo a um futuro Procedimento A</w:t>
      </w:r>
      <w:r w:rsidR="001E4B78">
        <w:t xml:space="preserve">dministrativo </w:t>
      </w:r>
      <w:r>
        <w:t>D</w:t>
      </w:r>
      <w:r w:rsidR="00852B11">
        <w:t>isciplinar</w:t>
      </w:r>
      <w:r>
        <w:t xml:space="preserve"> (PAD). E</w:t>
      </w:r>
      <w:r w:rsidR="00852B11">
        <w:t xml:space="preserve">, </w:t>
      </w:r>
      <w:r w:rsidR="001E4B78">
        <w:t>em dados momentos</w:t>
      </w:r>
      <w:r w:rsidR="00852B11">
        <w:t>,</w:t>
      </w:r>
      <w:r w:rsidR="005A45BF">
        <w:t xml:space="preserve"> </w:t>
      </w:r>
      <w:r>
        <w:t xml:space="preserve">a mesma </w:t>
      </w:r>
      <w:r w:rsidR="005A45BF">
        <w:t>ganha</w:t>
      </w:r>
      <w:r w:rsidR="001E4B78">
        <w:t xml:space="preserve"> </w:t>
      </w:r>
      <w:r w:rsidR="00852B11">
        <w:t>contornos d</w:t>
      </w:r>
      <w:r>
        <w:t>e um Procedimento A</w:t>
      </w:r>
      <w:r w:rsidR="001E4B78">
        <w:t xml:space="preserve">dministrativo </w:t>
      </w:r>
      <w:r>
        <w:t>D</w:t>
      </w:r>
      <w:r w:rsidR="00852B11">
        <w:t xml:space="preserve">isciplinar </w:t>
      </w:r>
      <w:r>
        <w:t>Preliminar, no</w:t>
      </w:r>
      <w:r w:rsidR="001E4B78">
        <w:t xml:space="preserve"> qual a possibilidade do contraditório e </w:t>
      </w:r>
      <w:r w:rsidR="00852B11">
        <w:t xml:space="preserve">da </w:t>
      </w:r>
      <w:r w:rsidR="001E4B78">
        <w:t xml:space="preserve">ampla defesa </w:t>
      </w:r>
      <w:r w:rsidR="00852B11">
        <w:t xml:space="preserve">surge com mais </w:t>
      </w:r>
      <w:r w:rsidR="00852B11">
        <w:lastRenderedPageBreak/>
        <w:t>expressividade</w:t>
      </w:r>
      <w:r w:rsidR="001E4B78">
        <w:t>. A Súmula</w:t>
      </w:r>
      <w:r w:rsidR="00852B11">
        <w:t xml:space="preserve"> Vinculante n° 14 do STF</w:t>
      </w:r>
      <w:r w:rsidR="00DE315A">
        <w:rPr>
          <w:rStyle w:val="Refdenotaderodap"/>
        </w:rPr>
        <w:footnoteReference w:id="3"/>
      </w:r>
      <w:r w:rsidR="00852B11">
        <w:t xml:space="preserve"> disciplina a possibilidade dos advogados terem acesso aos autos de procedimentos investigatórios</w:t>
      </w:r>
      <w:r w:rsidR="0060280F">
        <w:t xml:space="preserve"> e</w:t>
      </w:r>
      <w:r w:rsidR="00852B11">
        <w:t>, mais especificamente</w:t>
      </w:r>
      <w:r w:rsidR="0060280F">
        <w:t>, dos Inquéritos P</w:t>
      </w:r>
      <w:r w:rsidR="00852B11">
        <w:t>oliciais. Por analogia é factível estende</w:t>
      </w:r>
      <w:r w:rsidR="0060280F">
        <w:t>r o mesmo entendimento para os P</w:t>
      </w:r>
      <w:r w:rsidR="00852B11">
        <w:t>roced</w:t>
      </w:r>
      <w:r w:rsidR="0060280F">
        <w:t>imentos A</w:t>
      </w:r>
      <w:r w:rsidR="00852B11">
        <w:t>dministrativos</w:t>
      </w:r>
      <w:r w:rsidR="0060280F">
        <w:t xml:space="preserve"> e</w:t>
      </w:r>
      <w:r w:rsidR="001D0CBF">
        <w:t>, em especial,</w:t>
      </w:r>
      <w:r w:rsidR="0060280F">
        <w:t xml:space="preserve"> ao da S</w:t>
      </w:r>
      <w:r w:rsidR="00852B11">
        <w:t>indicância</w:t>
      </w:r>
      <w:r w:rsidR="001D0CBF">
        <w:t xml:space="preserve">. </w:t>
      </w:r>
    </w:p>
    <w:p w:rsidR="001D0CBF" w:rsidRDefault="0060280F" w:rsidP="00084982">
      <w:pPr>
        <w:suppressAutoHyphens/>
        <w:spacing w:line="360" w:lineRule="auto"/>
        <w:ind w:firstLine="1418"/>
      </w:pPr>
      <w:r>
        <w:t>Doutrinariamente a S</w:t>
      </w:r>
      <w:r w:rsidR="001D0CBF">
        <w:t xml:space="preserve">indicância pode ser dividida em </w:t>
      </w:r>
      <w:r w:rsidR="006D17F3">
        <w:t xml:space="preserve">1) </w:t>
      </w:r>
      <w:r w:rsidR="001D0CBF">
        <w:t>investigativa</w:t>
      </w:r>
      <w:r w:rsidR="004F1D58">
        <w:t xml:space="preserve"> (inquisitorial)</w:t>
      </w:r>
      <w:r w:rsidR="001D0CBF">
        <w:t xml:space="preserve">, na qual </w:t>
      </w:r>
      <w:r w:rsidR="00905481">
        <w:t xml:space="preserve">seriam </w:t>
      </w:r>
      <w:r w:rsidR="00852B11">
        <w:t>apura</w:t>
      </w:r>
      <w:r w:rsidR="00905481">
        <w:t>das</w:t>
      </w:r>
      <w:r w:rsidR="00852B11">
        <w:t xml:space="preserve"> irregularidades </w:t>
      </w:r>
      <w:r w:rsidR="00905481">
        <w:t>e/</w:t>
      </w:r>
      <w:r w:rsidR="00852B11">
        <w:t>ou ilegalidade</w:t>
      </w:r>
      <w:r w:rsidR="00905481">
        <w:t xml:space="preserve">s em atos administrativos; e </w:t>
      </w:r>
      <w:r w:rsidR="006D17F3">
        <w:t xml:space="preserve">2) </w:t>
      </w:r>
      <w:r w:rsidR="00905481">
        <w:t xml:space="preserve">correcional, onde seriam apurados </w:t>
      </w:r>
      <w:r w:rsidR="001D0CBF">
        <w:t xml:space="preserve">desvios de conduta de servidores </w:t>
      </w:r>
      <w:r w:rsidR="00852B11">
        <w:t>públicos</w:t>
      </w:r>
      <w:r w:rsidR="006D17F3">
        <w:t xml:space="preserve">, sendo </w:t>
      </w:r>
      <w:r w:rsidR="00905481">
        <w:t>aplica</w:t>
      </w:r>
      <w:r w:rsidR="006D17F3">
        <w:t xml:space="preserve">das </w:t>
      </w:r>
      <w:r w:rsidR="00905481">
        <w:t>nestes</w:t>
      </w:r>
      <w:r w:rsidR="001D0CBF">
        <w:t xml:space="preserve"> casos </w:t>
      </w:r>
      <w:r w:rsidR="00852B11">
        <w:t xml:space="preserve">sanções </w:t>
      </w:r>
      <w:r w:rsidR="001D0CBF">
        <w:t xml:space="preserve">como </w:t>
      </w:r>
      <w:r w:rsidR="00905481">
        <w:t xml:space="preserve">a </w:t>
      </w:r>
      <w:r w:rsidR="00852B11">
        <w:t xml:space="preserve">advertência e </w:t>
      </w:r>
      <w:r w:rsidR="00905481">
        <w:t xml:space="preserve">a </w:t>
      </w:r>
      <w:r w:rsidR="00852B11">
        <w:t>suspensão.</w:t>
      </w:r>
      <w:r w:rsidR="006D17F3">
        <w:t xml:space="preserve"> Esta</w:t>
      </w:r>
      <w:r w:rsidR="001D0CBF">
        <w:t xml:space="preserve"> última</w:t>
      </w:r>
      <w:r w:rsidR="006D17F3">
        <w:t xml:space="preserve"> (correcional)</w:t>
      </w:r>
      <w:r w:rsidR="004F1D58">
        <w:t xml:space="preserve"> possui</w:t>
      </w:r>
      <w:r w:rsidR="001D0CBF">
        <w:t xml:space="preserve"> asp</w:t>
      </w:r>
      <w:r w:rsidR="006D17F3">
        <w:t>ectos e atos condizentes com o Procedimento Administrativo D</w:t>
      </w:r>
      <w:r w:rsidR="001D0CBF">
        <w:t>isciplinar que</w:t>
      </w:r>
      <w:r w:rsidR="003C7316">
        <w:t>,</w:t>
      </w:r>
      <w:r w:rsidR="001D0CBF">
        <w:t xml:space="preserve"> pela sua ótica e finalidade</w:t>
      </w:r>
      <w:r w:rsidR="003C7316">
        <w:t>,</w:t>
      </w:r>
      <w:r w:rsidR="001D0CBF">
        <w:t xml:space="preserve"> deve</w:t>
      </w:r>
      <w:r w:rsidR="00F74AAF">
        <w:t>rá</w:t>
      </w:r>
      <w:r w:rsidR="003C7316">
        <w:t xml:space="preserve"> observar os princípios constitucionais do </w:t>
      </w:r>
      <w:r w:rsidR="001D0CBF">
        <w:t xml:space="preserve">contraditório e </w:t>
      </w:r>
      <w:r w:rsidR="003C7316">
        <w:t>d</w:t>
      </w:r>
      <w:r w:rsidR="00D821DC">
        <w:t xml:space="preserve">a </w:t>
      </w:r>
      <w:r w:rsidR="001D0CBF">
        <w:t xml:space="preserve">ampla defesa. </w:t>
      </w:r>
    </w:p>
    <w:p w:rsidR="00DE315A" w:rsidRPr="002C7954" w:rsidRDefault="00F74AAF" w:rsidP="00500F0B">
      <w:pPr>
        <w:suppressAutoHyphens/>
        <w:spacing w:line="360" w:lineRule="auto"/>
        <w:ind w:firstLine="1418"/>
        <w:rPr>
          <w:color w:val="auto"/>
        </w:rPr>
      </w:pPr>
      <w:r>
        <w:t>Ressalte</w:t>
      </w:r>
      <w:r w:rsidR="001D0CBF">
        <w:t>-se</w:t>
      </w:r>
      <w:r>
        <w:t>,</w:t>
      </w:r>
      <w:r w:rsidR="001D0CBF">
        <w:t xml:space="preserve"> ainda, que a jurisprudência </w:t>
      </w:r>
      <w:r w:rsidR="00E26ED4">
        <w:t xml:space="preserve">enfrenta a questão do acesso aos </w:t>
      </w:r>
      <w:r w:rsidR="001D0CBF">
        <w:t>procedimentos investigatórios</w:t>
      </w:r>
      <w:r w:rsidR="00E26ED4">
        <w:t xml:space="preserve">, na sua maioria, </w:t>
      </w:r>
      <w:r w:rsidR="00AC76DD">
        <w:t xml:space="preserve">apenas </w:t>
      </w:r>
      <w:r w:rsidR="00E26ED4">
        <w:t xml:space="preserve">sob o prisma das </w:t>
      </w:r>
      <w:r w:rsidR="00063514">
        <w:t xml:space="preserve">partes </w:t>
      </w:r>
      <w:r w:rsidR="00E26ED4">
        <w:t xml:space="preserve">envolvidas </w:t>
      </w:r>
      <w:r w:rsidR="00063514">
        <w:t xml:space="preserve">e </w:t>
      </w:r>
      <w:r w:rsidR="00E26ED4">
        <w:t>d</w:t>
      </w:r>
      <w:r w:rsidR="00063514">
        <w:t>o</w:t>
      </w:r>
      <w:r w:rsidR="00E26ED4">
        <w:t>s</w:t>
      </w:r>
      <w:r w:rsidR="00063514">
        <w:t xml:space="preserve"> procurador</w:t>
      </w:r>
      <w:r w:rsidR="00E26ED4">
        <w:t>es</w:t>
      </w:r>
      <w:r w:rsidR="00063514">
        <w:t xml:space="preserve"> legalmente constituído</w:t>
      </w:r>
      <w:r w:rsidR="00E26ED4">
        <w:t>s</w:t>
      </w:r>
      <w:r w:rsidR="00063514">
        <w:t xml:space="preserve">, </w:t>
      </w:r>
      <w:r w:rsidR="00E26ED4">
        <w:t>que são os atores envolvidos na observância aos princípios constitucionais do contraditório e da ampla defesa.</w:t>
      </w:r>
      <w:r w:rsidR="00EE4F32">
        <w:t xml:space="preserve"> Nos casos em que </w:t>
      </w:r>
      <w:r w:rsidR="004F1D58">
        <w:t xml:space="preserve">as pessoas não estejam </w:t>
      </w:r>
      <w:r w:rsidR="004F1D58" w:rsidRPr="002C7954">
        <w:rPr>
          <w:color w:val="auto"/>
        </w:rPr>
        <w:t>diretamente envolvidas no proc</w:t>
      </w:r>
      <w:r w:rsidR="00AC76DD" w:rsidRPr="002C7954">
        <w:rPr>
          <w:color w:val="auto"/>
        </w:rPr>
        <w:t xml:space="preserve">edimento, </w:t>
      </w:r>
      <w:r w:rsidR="004F1D58" w:rsidRPr="002C7954">
        <w:rPr>
          <w:color w:val="auto"/>
        </w:rPr>
        <w:t>faz-se</w:t>
      </w:r>
      <w:r w:rsidR="00EE4F32" w:rsidRPr="002C7954">
        <w:rPr>
          <w:color w:val="auto"/>
        </w:rPr>
        <w:t xml:space="preserve"> necessário verificar qual o momento mais coerente de se dar publicidade</w:t>
      </w:r>
      <w:r w:rsidR="00E26ED4" w:rsidRPr="002C7954">
        <w:rPr>
          <w:color w:val="auto"/>
        </w:rPr>
        <w:t>, em o</w:t>
      </w:r>
      <w:r w:rsidR="00AC76DD" w:rsidRPr="002C7954">
        <w:rPr>
          <w:color w:val="auto"/>
        </w:rPr>
        <w:t xml:space="preserve">bservância </w:t>
      </w:r>
      <w:r w:rsidR="00E26ED4" w:rsidRPr="002C7954">
        <w:rPr>
          <w:color w:val="auto"/>
        </w:rPr>
        <w:t>ao que dispõe a Carta Magna (princípio da publicidade)</w:t>
      </w:r>
      <w:r w:rsidR="00AC76DD" w:rsidRPr="002C7954">
        <w:rPr>
          <w:color w:val="auto"/>
        </w:rPr>
        <w:t>.</w:t>
      </w:r>
    </w:p>
    <w:p w:rsidR="00DE315A" w:rsidRPr="002C7954" w:rsidRDefault="00DE315A" w:rsidP="000135BE">
      <w:pPr>
        <w:suppressAutoHyphens/>
        <w:spacing w:line="360" w:lineRule="auto"/>
        <w:ind w:firstLine="1418"/>
        <w:rPr>
          <w:color w:val="auto"/>
        </w:rPr>
      </w:pPr>
      <w:r w:rsidRPr="002C7954">
        <w:rPr>
          <w:color w:val="auto"/>
        </w:rPr>
        <w:t>R</w:t>
      </w:r>
      <w:r w:rsidR="00E26ED4" w:rsidRPr="002C7954">
        <w:rPr>
          <w:color w:val="auto"/>
        </w:rPr>
        <w:t>essalte</w:t>
      </w:r>
      <w:r w:rsidR="006769D7" w:rsidRPr="002C7954">
        <w:rPr>
          <w:color w:val="auto"/>
        </w:rPr>
        <w:t xml:space="preserve">-se que </w:t>
      </w:r>
      <w:r w:rsidR="00BA6B86" w:rsidRPr="002C7954">
        <w:rPr>
          <w:color w:val="auto"/>
        </w:rPr>
        <w:t xml:space="preserve">a </w:t>
      </w:r>
      <w:r w:rsidR="00E26ED4" w:rsidRPr="002C7954">
        <w:rPr>
          <w:color w:val="auto"/>
        </w:rPr>
        <w:t xml:space="preserve">Recorrente </w:t>
      </w:r>
      <w:r w:rsidR="00BA6B86" w:rsidRPr="002C7954">
        <w:rPr>
          <w:color w:val="auto"/>
        </w:rPr>
        <w:t xml:space="preserve">teve </w:t>
      </w:r>
      <w:r w:rsidR="00A944E9" w:rsidRPr="002C7954">
        <w:rPr>
          <w:color w:val="auto"/>
        </w:rPr>
        <w:t>a sua demanda</w:t>
      </w:r>
      <w:r w:rsidR="00BF1DDF" w:rsidRPr="002C7954">
        <w:rPr>
          <w:color w:val="auto"/>
        </w:rPr>
        <w:t xml:space="preserve"> </w:t>
      </w:r>
      <w:r w:rsidR="00A944E9" w:rsidRPr="002C7954">
        <w:rPr>
          <w:color w:val="auto"/>
        </w:rPr>
        <w:t>encaminhada pelo SIC</w:t>
      </w:r>
      <w:r w:rsidR="00BA6B86" w:rsidRPr="002C7954">
        <w:rPr>
          <w:color w:val="auto"/>
        </w:rPr>
        <w:t xml:space="preserve"> em 12 de junho de 2017</w:t>
      </w:r>
      <w:r w:rsidR="00A944E9" w:rsidRPr="002C7954">
        <w:rPr>
          <w:color w:val="auto"/>
        </w:rPr>
        <w:t>, bem como que o prazo legal para a conclusão da sindicância onde estaria</w:t>
      </w:r>
      <w:r w:rsidR="00A944E9" w:rsidRPr="002C7954">
        <w:rPr>
          <w:b/>
          <w:color w:val="auto"/>
          <w:sz w:val="22"/>
          <w:szCs w:val="22"/>
        </w:rPr>
        <w:t xml:space="preserve"> </w:t>
      </w:r>
      <w:r w:rsidR="00A944E9" w:rsidRPr="002C7954">
        <w:rPr>
          <w:color w:val="auto"/>
        </w:rPr>
        <w:t>a cópia do relatório circunstanciado (Portaria nº 275, de 10 de novembro de 2015) já teria expirado.</w:t>
      </w:r>
      <w:r w:rsidR="004F5DFA" w:rsidRPr="002C7954">
        <w:rPr>
          <w:color w:val="auto"/>
        </w:rPr>
        <w:t xml:space="preserve"> </w:t>
      </w:r>
      <w:r w:rsidR="00BF1DDF" w:rsidRPr="002C7954">
        <w:rPr>
          <w:color w:val="auto"/>
        </w:rPr>
        <w:t>E, e</w:t>
      </w:r>
      <w:r w:rsidR="004F1D58" w:rsidRPr="002C7954">
        <w:rPr>
          <w:color w:val="auto"/>
        </w:rPr>
        <w:t xml:space="preserve">mbora não </w:t>
      </w:r>
      <w:r w:rsidR="00BF1DDF" w:rsidRPr="002C7954">
        <w:rPr>
          <w:color w:val="auto"/>
        </w:rPr>
        <w:lastRenderedPageBreak/>
        <w:t xml:space="preserve">reste claro se o interesse da Recorrente no procedimento se daria em </w:t>
      </w:r>
      <w:r w:rsidR="00084982" w:rsidRPr="002C7954">
        <w:rPr>
          <w:color w:val="auto"/>
        </w:rPr>
        <w:t xml:space="preserve">virtude </w:t>
      </w:r>
      <w:r w:rsidR="00BF1DDF" w:rsidRPr="002C7954">
        <w:rPr>
          <w:color w:val="auto"/>
        </w:rPr>
        <w:t>da mesma fazer parte deste (de alguma forma) ou, ainda, se a busca de</w:t>
      </w:r>
      <w:r w:rsidR="00084982" w:rsidRPr="002C7954">
        <w:rPr>
          <w:color w:val="auto"/>
        </w:rPr>
        <w:t>correria de simples exercício de</w:t>
      </w:r>
      <w:r w:rsidR="00BF1DDF" w:rsidRPr="002C7954">
        <w:rPr>
          <w:color w:val="auto"/>
        </w:rPr>
        <w:t xml:space="preserve"> cidadania/controle social</w:t>
      </w:r>
      <w:r w:rsidR="000135BE" w:rsidRPr="002C7954">
        <w:rPr>
          <w:color w:val="auto"/>
        </w:rPr>
        <w:t>,</w:t>
      </w:r>
      <w:r w:rsidR="00BF1DDF" w:rsidRPr="002C7954">
        <w:rPr>
          <w:color w:val="auto"/>
        </w:rPr>
        <w:t xml:space="preserve"> entendo, pelo decurso de tempo</w:t>
      </w:r>
      <w:r w:rsidR="00084982" w:rsidRPr="002C7954">
        <w:rPr>
          <w:color w:val="auto"/>
        </w:rPr>
        <w:t xml:space="preserve"> </w:t>
      </w:r>
      <w:r w:rsidR="000135BE" w:rsidRPr="002C7954">
        <w:rPr>
          <w:color w:val="auto"/>
        </w:rPr>
        <w:t>e por acreditar que o fornecimento</w:t>
      </w:r>
      <w:r w:rsidR="00084982" w:rsidRPr="002C7954">
        <w:rPr>
          <w:color w:val="auto"/>
        </w:rPr>
        <w:t xml:space="preserve"> da cópia</w:t>
      </w:r>
      <w:r w:rsidR="000135BE" w:rsidRPr="002C7954">
        <w:rPr>
          <w:color w:val="auto"/>
        </w:rPr>
        <w:t xml:space="preserve"> neste momento não prejudicaria a investigação, em </w:t>
      </w:r>
      <w:r w:rsidR="00084982" w:rsidRPr="002C7954">
        <w:rPr>
          <w:color w:val="auto"/>
        </w:rPr>
        <w:t>deferir o pedido recursal.</w:t>
      </w:r>
    </w:p>
    <w:p w:rsidR="004103D8" w:rsidRDefault="00084982" w:rsidP="00084982">
      <w:pPr>
        <w:suppressAutoHyphens/>
        <w:spacing w:line="360" w:lineRule="auto"/>
        <w:ind w:firstLine="1418"/>
      </w:pPr>
      <w:r>
        <w:t>Assim, em observância ao princípio constitucional da p</w:t>
      </w:r>
      <w:r w:rsidR="00DE315A">
        <w:t xml:space="preserve">ublicidade, </w:t>
      </w:r>
      <w:r>
        <w:t>o voto vai no sentido de que a Secretaria da Educação forneça, nos termos da Lei de Acesso à Informação e dos fundamentos apresentados, a cópia solicitada no pedido inicial</w:t>
      </w:r>
      <w:r w:rsidR="00DE315A">
        <w:t>.</w:t>
      </w:r>
    </w:p>
    <w:p w:rsidR="006C50C5" w:rsidRPr="002C7954" w:rsidRDefault="006C50C5" w:rsidP="006C50C5">
      <w:pPr>
        <w:suppressAutoHyphens/>
        <w:spacing w:line="360" w:lineRule="auto"/>
        <w:ind w:firstLine="1418"/>
        <w:rPr>
          <w:color w:val="auto"/>
          <w:lang w:eastAsia="ar-SA"/>
        </w:rPr>
      </w:pPr>
      <w:r w:rsidRPr="002C7954">
        <w:rPr>
          <w:color w:val="auto"/>
          <w:lang w:eastAsia="ar-SA"/>
        </w:rPr>
        <w:t xml:space="preserve">Por fim, em razão do descumprimento do prazo legal de resposta do pedido de acesso, recomenda-se ao órgão recorrido a observância aos prazos do Decreto nº 49.111/2012, sob pena de futuras responsabilizações, caso se verifique conduta reiterada. </w:t>
      </w:r>
    </w:p>
    <w:p w:rsidR="00771802" w:rsidRDefault="00771802" w:rsidP="00084982">
      <w:pPr>
        <w:suppressAutoHyphens/>
        <w:spacing w:line="360" w:lineRule="auto"/>
        <w:ind w:firstLine="1418"/>
        <w:rPr>
          <w:color w:val="FF0000"/>
          <w:highlight w:val="yellow"/>
        </w:rPr>
      </w:pPr>
    </w:p>
    <w:p w:rsidR="00771802" w:rsidRDefault="00771802" w:rsidP="00771802">
      <w:pPr>
        <w:pStyle w:val="NomeJulgadorPadro"/>
        <w:rPr>
          <w:b w:val="0"/>
          <w:caps w:val="0"/>
        </w:rPr>
      </w:pPr>
      <w:r w:rsidRPr="006041E4">
        <w:rPr>
          <w:u w:val="single"/>
        </w:rPr>
        <w:t xml:space="preserve">PROCURADORIA-GERAL DO ESTADO </w:t>
      </w:r>
      <w:r>
        <w:rPr>
          <w:u w:val="single"/>
        </w:rPr>
        <w:t>(REDATOR PARA A DECISÃO</w:t>
      </w:r>
      <w:r w:rsidRPr="00A06F82">
        <w:rPr>
          <w:u w:val="single"/>
        </w:rPr>
        <w:t>)</w:t>
      </w:r>
      <w:r w:rsidRPr="00A06F82">
        <w:rPr>
          <w:b w:val="0"/>
          <w:caps w:val="0"/>
          <w:u w:val="single"/>
        </w:rPr>
        <w:t xml:space="preserve"> </w:t>
      </w:r>
      <w:r>
        <w:rPr>
          <w:b w:val="0"/>
          <w:caps w:val="0"/>
          <w:u w:val="single"/>
        </w:rPr>
        <w:t>–</w:t>
      </w:r>
      <w:r w:rsidRPr="00830390">
        <w:rPr>
          <w:b w:val="0"/>
          <w:caps w:val="0"/>
        </w:rPr>
        <w:t xml:space="preserve"> </w:t>
      </w:r>
    </w:p>
    <w:p w:rsidR="00771802" w:rsidRPr="0028704C" w:rsidRDefault="00771802" w:rsidP="00771802">
      <w:pPr>
        <w:pStyle w:val="PargrafoNormal"/>
      </w:pPr>
      <w:r w:rsidRPr="0028704C">
        <w:t>Eminentes Colegas.</w:t>
      </w:r>
    </w:p>
    <w:p w:rsidR="008A4A17" w:rsidRDefault="008A4A17" w:rsidP="00771802">
      <w:pPr>
        <w:spacing w:line="360" w:lineRule="auto"/>
        <w:ind w:firstLine="1418"/>
        <w:rPr>
          <w:color w:val="000000"/>
        </w:rPr>
      </w:pPr>
      <w:r>
        <w:rPr>
          <w:color w:val="000000"/>
        </w:rPr>
        <w:t xml:space="preserve">Verifica-se, de início, </w:t>
      </w:r>
      <w:r w:rsidR="00A25AE2">
        <w:rPr>
          <w:color w:val="000000"/>
        </w:rPr>
        <w:t xml:space="preserve">em contato com o a SEDUC, </w:t>
      </w:r>
      <w:r>
        <w:rPr>
          <w:color w:val="000000"/>
        </w:rPr>
        <w:t xml:space="preserve">que a sindicância iniciada pela Portaria nº 275/2015 (DOE de 10/11/2015) foi, posteriormente, tornada sem efeito pela Portaria nº 94/2017 (DOE de 03/05/2017) e continuada pelas </w:t>
      </w:r>
      <w:r w:rsidR="00771802">
        <w:rPr>
          <w:color w:val="000000"/>
        </w:rPr>
        <w:t>Por</w:t>
      </w:r>
      <w:r>
        <w:rPr>
          <w:color w:val="000000"/>
        </w:rPr>
        <w:t>tarias nºs 95/2017 (DOE de 03/05/2017) e 171/2017 (DOE de 18/07/2017).</w:t>
      </w:r>
    </w:p>
    <w:p w:rsidR="00A25AE2" w:rsidRPr="00B10C7A" w:rsidRDefault="00A25AE2" w:rsidP="00A25AE2">
      <w:pPr>
        <w:suppressAutoHyphens/>
        <w:spacing w:line="360" w:lineRule="auto"/>
        <w:ind w:firstLine="1418"/>
        <w:rPr>
          <w:color w:val="000000"/>
          <w:lang w:eastAsia="ar-SA"/>
        </w:rPr>
      </w:pPr>
      <w:r>
        <w:rPr>
          <w:lang w:eastAsia="ar-SA"/>
        </w:rPr>
        <w:t xml:space="preserve">No entanto, entendo </w:t>
      </w:r>
      <w:r w:rsidRPr="005B7B28">
        <w:rPr>
          <w:i/>
          <w:lang w:eastAsia="ar-SA"/>
        </w:rPr>
        <w:t xml:space="preserve">não </w:t>
      </w:r>
      <w:r>
        <w:rPr>
          <w:i/>
          <w:lang w:eastAsia="ar-SA"/>
        </w:rPr>
        <w:t xml:space="preserve">ter </w:t>
      </w:r>
      <w:r w:rsidRPr="005B7B28">
        <w:rPr>
          <w:i/>
          <w:lang w:eastAsia="ar-SA"/>
        </w:rPr>
        <w:t>hav</w:t>
      </w:r>
      <w:r>
        <w:rPr>
          <w:i/>
          <w:lang w:eastAsia="ar-SA"/>
        </w:rPr>
        <w:t>ido</w:t>
      </w:r>
      <w:r w:rsidRPr="005B7B28">
        <w:rPr>
          <w:i/>
          <w:lang w:eastAsia="ar-SA"/>
        </w:rPr>
        <w:t xml:space="preserve"> clareza</w:t>
      </w:r>
      <w:r w:rsidRPr="00E96CC8">
        <w:rPr>
          <w:lang w:eastAsia="ar-SA"/>
        </w:rPr>
        <w:t xml:space="preserve"> </w:t>
      </w:r>
      <w:r>
        <w:rPr>
          <w:lang w:eastAsia="ar-SA"/>
        </w:rPr>
        <w:t>nas respostas fornecidas pela SEDUC</w:t>
      </w:r>
      <w:r w:rsidRPr="006041E4">
        <w:rPr>
          <w:lang w:eastAsia="ar-SA"/>
        </w:rPr>
        <w:t xml:space="preserve"> </w:t>
      </w:r>
      <w:r>
        <w:rPr>
          <w:lang w:eastAsia="ar-SA"/>
        </w:rPr>
        <w:t xml:space="preserve">à cidadã </w:t>
      </w:r>
      <w:r w:rsidRPr="006041E4">
        <w:rPr>
          <w:lang w:eastAsia="ar-SA"/>
        </w:rPr>
        <w:t xml:space="preserve">quanto a </w:t>
      </w:r>
      <w:r>
        <w:rPr>
          <w:lang w:eastAsia="ar-SA"/>
        </w:rPr>
        <w:t>essa sucessão de sindicâncias.</w:t>
      </w:r>
      <w:r w:rsidRPr="004164A6">
        <w:rPr>
          <w:color w:val="FF0000"/>
          <w:lang w:eastAsia="ar-SA"/>
        </w:rPr>
        <w:t xml:space="preserve"> </w:t>
      </w:r>
      <w:r w:rsidRPr="00B10C7A">
        <w:rPr>
          <w:color w:val="000000"/>
          <w:lang w:eastAsia="ar-SA"/>
        </w:rPr>
        <w:t>Pelas respostas fornecidas, a rigor, poder-se-ia entender que a sindicância relativa à Portaria nº 275/2015 nada tem a ver com a</w:t>
      </w:r>
      <w:r>
        <w:rPr>
          <w:color w:val="FF0000"/>
          <w:lang w:eastAsia="ar-SA"/>
        </w:rPr>
        <w:t xml:space="preserve"> </w:t>
      </w:r>
      <w:r w:rsidRPr="00B10C7A">
        <w:rPr>
          <w:color w:val="000000"/>
          <w:lang w:eastAsia="ar-SA"/>
        </w:rPr>
        <w:t xml:space="preserve">relativa à Portaria nº </w:t>
      </w:r>
      <w:r w:rsidRPr="00B10C7A">
        <w:rPr>
          <w:color w:val="000000"/>
          <w:lang w:eastAsia="ar-SA"/>
        </w:rPr>
        <w:lastRenderedPageBreak/>
        <w:t>95/2017</w:t>
      </w:r>
      <w:r w:rsidR="00362F8B" w:rsidRPr="00B10C7A">
        <w:rPr>
          <w:color w:val="000000"/>
          <w:lang w:eastAsia="ar-SA"/>
        </w:rPr>
        <w:t xml:space="preserve"> – </w:t>
      </w:r>
      <w:r w:rsidR="00362F8B" w:rsidRPr="00B10C7A">
        <w:rPr>
          <w:i/>
          <w:color w:val="000000"/>
          <w:lang w:eastAsia="ar-SA"/>
        </w:rPr>
        <w:t>o que poderia levar a decisão completamente diferente no presente recurso</w:t>
      </w:r>
      <w:r w:rsidRPr="00B10C7A">
        <w:rPr>
          <w:i/>
          <w:color w:val="000000"/>
          <w:lang w:eastAsia="ar-SA"/>
        </w:rPr>
        <w:t>.</w:t>
      </w:r>
    </w:p>
    <w:p w:rsidR="00A25AE2" w:rsidRDefault="00A25AE2" w:rsidP="00A25AE2">
      <w:pPr>
        <w:suppressAutoHyphens/>
        <w:spacing w:line="360" w:lineRule="auto"/>
        <w:ind w:firstLine="1418"/>
        <w:rPr>
          <w:lang w:eastAsia="ar-SA"/>
        </w:rPr>
      </w:pPr>
      <w:r>
        <w:rPr>
          <w:lang w:eastAsia="ar-SA"/>
        </w:rPr>
        <w:t>Registre</w:t>
      </w:r>
      <w:r w:rsidRPr="00F77286">
        <w:rPr>
          <w:lang w:eastAsia="ar-SA"/>
        </w:rPr>
        <w:t xml:space="preserve">-se que a informação prestada via Serviço de Informação ao Cidadão - SIC é considerada um dado </w:t>
      </w:r>
      <w:r w:rsidRPr="00F77286">
        <w:rPr>
          <w:i/>
          <w:lang w:eastAsia="ar-SA"/>
        </w:rPr>
        <w:t>oficial</w:t>
      </w:r>
      <w:r w:rsidRPr="00F77286">
        <w:rPr>
          <w:lang w:eastAsia="ar-SA"/>
        </w:rPr>
        <w:t xml:space="preserve"> do órgão e, portanto, do </w:t>
      </w:r>
      <w:r>
        <w:rPr>
          <w:lang w:eastAsia="ar-SA"/>
        </w:rPr>
        <w:t xml:space="preserve">próprio </w:t>
      </w:r>
      <w:r w:rsidRPr="00F77286">
        <w:rPr>
          <w:lang w:eastAsia="ar-SA"/>
        </w:rPr>
        <w:t>Estado, devendo ser fornecida</w:t>
      </w:r>
      <w:r>
        <w:rPr>
          <w:lang w:eastAsia="ar-SA"/>
        </w:rPr>
        <w:t xml:space="preserve"> preferencialmente</w:t>
      </w:r>
      <w:r w:rsidRPr="00F77286">
        <w:rPr>
          <w:lang w:eastAsia="ar-SA"/>
        </w:rPr>
        <w:t xml:space="preserve"> de forma </w:t>
      </w:r>
      <w:r w:rsidRPr="00F77286">
        <w:rPr>
          <w:b/>
          <w:lang w:eastAsia="ar-SA"/>
        </w:rPr>
        <w:t>primária</w:t>
      </w:r>
      <w:r>
        <w:rPr>
          <w:lang w:eastAsia="ar-SA"/>
        </w:rPr>
        <w:t xml:space="preserve"> (coletada na fonte e com o máximo de detalhamento possível), </w:t>
      </w:r>
      <w:r w:rsidRPr="00F77286">
        <w:rPr>
          <w:b/>
          <w:lang w:eastAsia="ar-SA"/>
        </w:rPr>
        <w:t>íntegra</w:t>
      </w:r>
      <w:r>
        <w:rPr>
          <w:lang w:eastAsia="ar-SA"/>
        </w:rPr>
        <w:t xml:space="preserve"> (sem modificações) e </w:t>
      </w:r>
      <w:r w:rsidRPr="00A6149B">
        <w:rPr>
          <w:b/>
          <w:lang w:eastAsia="ar-SA"/>
        </w:rPr>
        <w:t>autêntica</w:t>
      </w:r>
      <w:r w:rsidRPr="00A6149B">
        <w:rPr>
          <w:lang w:eastAsia="ar-SA"/>
        </w:rPr>
        <w:t xml:space="preserve"> </w:t>
      </w:r>
      <w:r>
        <w:rPr>
          <w:lang w:eastAsia="ar-SA"/>
        </w:rPr>
        <w:t>(verdadeira, a informação oficial produzida pelo ente público), nos termos do que dispõem os arts. 4º da LAI</w:t>
      </w:r>
      <w:r>
        <w:rPr>
          <w:rStyle w:val="Refdenotaderodap"/>
          <w:lang w:eastAsia="ar-SA"/>
        </w:rPr>
        <w:footnoteReference w:id="4"/>
      </w:r>
      <w:r>
        <w:rPr>
          <w:lang w:eastAsia="ar-SA"/>
        </w:rPr>
        <w:t xml:space="preserve"> e do Decreto Estadual nº 49.111/2012</w:t>
      </w:r>
      <w:r>
        <w:rPr>
          <w:rStyle w:val="Refdenotaderodap"/>
          <w:lang w:eastAsia="ar-SA"/>
        </w:rPr>
        <w:footnoteReference w:id="5"/>
      </w:r>
      <w:r>
        <w:rPr>
          <w:lang w:eastAsia="ar-SA"/>
        </w:rPr>
        <w:t xml:space="preserve">, </w:t>
      </w:r>
      <w:r w:rsidRPr="005B7B28">
        <w:rPr>
          <w:b/>
          <w:u w:val="single"/>
          <w:lang w:eastAsia="ar-SA"/>
        </w:rPr>
        <w:t>não podendo ser vaga e imprecisa</w:t>
      </w:r>
      <w:r>
        <w:rPr>
          <w:lang w:eastAsia="ar-SA"/>
        </w:rPr>
        <w:t>.</w:t>
      </w:r>
    </w:p>
    <w:p w:rsidR="00A25AE2" w:rsidRDefault="00A25AE2" w:rsidP="00A25AE2">
      <w:pPr>
        <w:suppressAutoHyphens/>
        <w:spacing w:line="360" w:lineRule="auto"/>
        <w:ind w:firstLine="1418"/>
        <w:rPr>
          <w:lang w:eastAsia="ar-SA"/>
        </w:rPr>
      </w:pPr>
      <w:r w:rsidRPr="00F96D97">
        <w:rPr>
          <w:lang w:eastAsia="ar-SA"/>
        </w:rPr>
        <w:t xml:space="preserve">Cite-se, nesse sentido, a lição de Juliano Heinen, </w:t>
      </w:r>
      <w:r w:rsidRPr="00F96D97">
        <w:rPr>
          <w:i/>
          <w:lang w:eastAsia="ar-SA"/>
        </w:rPr>
        <w:t>in Comentários à Lei de Acesso à Informação – Lei nº 12.527/2011</w:t>
      </w:r>
      <w:r w:rsidRPr="00F96D97">
        <w:rPr>
          <w:lang w:eastAsia="ar-SA"/>
        </w:rPr>
        <w:t>, Belo Hor</w:t>
      </w:r>
      <w:r>
        <w:rPr>
          <w:lang w:eastAsia="ar-SA"/>
        </w:rPr>
        <w:t>izonte: Fórum, 2014, p. 120</w:t>
      </w:r>
      <w:r w:rsidRPr="00F96D97">
        <w:rPr>
          <w:lang w:eastAsia="ar-SA"/>
        </w:rPr>
        <w:t>:</w:t>
      </w:r>
    </w:p>
    <w:p w:rsidR="00A25AE2" w:rsidRDefault="00A25AE2" w:rsidP="00A25AE2">
      <w:pPr>
        <w:suppressAutoHyphens/>
        <w:spacing w:line="360" w:lineRule="auto"/>
        <w:ind w:firstLine="1418"/>
        <w:rPr>
          <w:i/>
          <w:sz w:val="22"/>
          <w:lang w:eastAsia="ar-SA"/>
        </w:rPr>
      </w:pPr>
      <w:r>
        <w:rPr>
          <w:i/>
          <w:sz w:val="22"/>
          <w:lang w:eastAsia="ar-SA"/>
        </w:rPr>
        <w:t>“(...)</w:t>
      </w:r>
    </w:p>
    <w:p w:rsidR="00A25AE2" w:rsidRDefault="00A25AE2" w:rsidP="00A25AE2">
      <w:pPr>
        <w:suppressAutoHyphens/>
        <w:spacing w:line="360" w:lineRule="auto"/>
        <w:ind w:firstLine="1418"/>
        <w:rPr>
          <w:i/>
          <w:sz w:val="22"/>
          <w:lang w:eastAsia="ar-SA"/>
        </w:rPr>
      </w:pPr>
      <w:r>
        <w:rPr>
          <w:i/>
          <w:sz w:val="22"/>
          <w:lang w:eastAsia="ar-SA"/>
        </w:rPr>
        <w:t xml:space="preserve">Além disso, considera-se relevante que a informação </w:t>
      </w:r>
      <w:r w:rsidRPr="00A6149B">
        <w:rPr>
          <w:i/>
          <w:sz w:val="22"/>
          <w:u w:val="single"/>
          <w:lang w:eastAsia="ar-SA"/>
        </w:rPr>
        <w:t>seja fornecida da maneira mais completa possível</w:t>
      </w:r>
      <w:r>
        <w:rPr>
          <w:i/>
          <w:sz w:val="22"/>
          <w:lang w:eastAsia="ar-SA"/>
        </w:rPr>
        <w:t xml:space="preserve">, entregando-se, na medida do que se consegue e do permitido, </w:t>
      </w:r>
      <w:r w:rsidRPr="00A6149B">
        <w:rPr>
          <w:i/>
          <w:sz w:val="22"/>
          <w:u w:val="single"/>
          <w:lang w:eastAsia="ar-SA"/>
        </w:rPr>
        <w:t>todos os dados que constem depositados nos arquivos públicos</w:t>
      </w:r>
      <w:r>
        <w:rPr>
          <w:i/>
          <w:sz w:val="22"/>
          <w:lang w:eastAsia="ar-SA"/>
        </w:rPr>
        <w:t xml:space="preserve">, objeto de pedido de acesso. Da mesma maneira, </w:t>
      </w:r>
      <w:r w:rsidRPr="00A6149B">
        <w:rPr>
          <w:i/>
          <w:sz w:val="22"/>
          <w:u w:val="single"/>
          <w:lang w:eastAsia="ar-SA"/>
        </w:rPr>
        <w:t xml:space="preserve">não se poderia admitir que a informação </w:t>
      </w:r>
      <w:r w:rsidRPr="00A6149B">
        <w:rPr>
          <w:i/>
          <w:sz w:val="22"/>
          <w:u w:val="single"/>
          <w:lang w:eastAsia="ar-SA"/>
        </w:rPr>
        <w:lastRenderedPageBreak/>
        <w:t>fornecida fosse falsa. É óbvio que os dados dispensados ao solicitante devem ser verdadeiros</w:t>
      </w:r>
      <w:r>
        <w:rPr>
          <w:i/>
          <w:sz w:val="22"/>
          <w:lang w:eastAsia="ar-SA"/>
        </w:rPr>
        <w:t>.</w:t>
      </w:r>
    </w:p>
    <w:p w:rsidR="00A25AE2" w:rsidRPr="00432446" w:rsidRDefault="00A25AE2" w:rsidP="00A25AE2">
      <w:pPr>
        <w:suppressAutoHyphens/>
        <w:spacing w:line="360" w:lineRule="auto"/>
        <w:ind w:firstLine="1418"/>
        <w:rPr>
          <w:i/>
          <w:sz w:val="22"/>
          <w:lang w:eastAsia="ar-SA"/>
        </w:rPr>
      </w:pPr>
      <w:r>
        <w:rPr>
          <w:i/>
          <w:sz w:val="22"/>
          <w:lang w:eastAsia="ar-SA"/>
        </w:rPr>
        <w:t>(...)” (g.n.)</w:t>
      </w:r>
    </w:p>
    <w:p w:rsidR="00A25AE2" w:rsidRDefault="00A25AE2" w:rsidP="00771802">
      <w:pPr>
        <w:spacing w:line="360" w:lineRule="auto"/>
        <w:ind w:firstLine="1418"/>
        <w:rPr>
          <w:color w:val="000000"/>
        </w:rPr>
      </w:pPr>
    </w:p>
    <w:p w:rsidR="00771802" w:rsidRDefault="008A4A17" w:rsidP="00771802">
      <w:pPr>
        <w:spacing w:line="360" w:lineRule="auto"/>
        <w:ind w:firstLine="1418"/>
        <w:rPr>
          <w:color w:val="000000"/>
        </w:rPr>
      </w:pPr>
      <w:r>
        <w:rPr>
          <w:color w:val="000000"/>
        </w:rPr>
        <w:t>Visto isso</w:t>
      </w:r>
      <w:r w:rsidR="00771802">
        <w:rPr>
          <w:color w:val="000000"/>
        </w:rPr>
        <w:t>, h</w:t>
      </w:r>
      <w:r w:rsidR="00771802" w:rsidRPr="00DD2E24">
        <w:rPr>
          <w:color w:val="000000"/>
        </w:rPr>
        <w:t xml:space="preserve">á de se </w:t>
      </w:r>
      <w:r w:rsidR="00771802" w:rsidRPr="00DD2E24">
        <w:rPr>
          <w:i/>
          <w:color w:val="000000"/>
        </w:rPr>
        <w:t>diferenciar</w:t>
      </w:r>
      <w:r w:rsidR="00771802">
        <w:rPr>
          <w:color w:val="000000"/>
        </w:rPr>
        <w:t>, como já fizemos em outras demandas analisadas por esta CMRI/RS (exemplificativamente</w:t>
      </w:r>
      <w:r>
        <w:rPr>
          <w:color w:val="000000"/>
        </w:rPr>
        <w:t>,</w:t>
      </w:r>
      <w:r w:rsidR="00771802">
        <w:rPr>
          <w:color w:val="000000"/>
        </w:rPr>
        <w:t xml:space="preserve"> </w:t>
      </w:r>
      <w:r>
        <w:rPr>
          <w:color w:val="000000"/>
        </w:rPr>
        <w:t xml:space="preserve">decisões nºs 10/2017, 11/2017, 13/2017, </w:t>
      </w:r>
      <w:r w:rsidR="00B72C43">
        <w:rPr>
          <w:color w:val="000000"/>
        </w:rPr>
        <w:t>entre outras</w:t>
      </w:r>
      <w:r w:rsidR="00771802">
        <w:rPr>
          <w:color w:val="000000"/>
        </w:rPr>
        <w:t xml:space="preserve">), </w:t>
      </w:r>
      <w:r w:rsidR="00771802" w:rsidRPr="00DD2E24">
        <w:rPr>
          <w:color w:val="000000"/>
        </w:rPr>
        <w:t xml:space="preserve">as informações sobre </w:t>
      </w:r>
      <w:r w:rsidR="00771802" w:rsidRPr="00DD2E24">
        <w:rPr>
          <w:i/>
          <w:color w:val="000000"/>
        </w:rPr>
        <w:t>o processo em si</w:t>
      </w:r>
      <w:r w:rsidR="00771802" w:rsidRPr="00DD2E24">
        <w:rPr>
          <w:color w:val="000000"/>
        </w:rPr>
        <w:t xml:space="preserve"> (p.ex., a portaria instauradora, as oitivas, os despachos e decisões, etc.) das eventuais informações que o </w:t>
      </w:r>
      <w:r w:rsidR="00771802" w:rsidRPr="00DD2E24">
        <w:rPr>
          <w:i/>
          <w:color w:val="000000"/>
        </w:rPr>
        <w:t>instruem</w:t>
      </w:r>
      <w:r w:rsidR="00771802" w:rsidRPr="00DD2E24">
        <w:rPr>
          <w:color w:val="000000"/>
        </w:rPr>
        <w:t xml:space="preserve">, as quais não necessariamente estão acobertadas por algum sigilo, a não ser que se enquadrem, </w:t>
      </w:r>
      <w:r w:rsidR="00771802" w:rsidRPr="00DD2E24">
        <w:rPr>
          <w:i/>
          <w:color w:val="000000"/>
        </w:rPr>
        <w:t>por si só</w:t>
      </w:r>
      <w:r w:rsidR="00771802" w:rsidRPr="00DD2E24">
        <w:rPr>
          <w:color w:val="000000"/>
        </w:rPr>
        <w:t>, em alguma das hipóteses de que trata o art. 10, I a III, do Decreto Estadual nº 49.111/2012.</w:t>
      </w:r>
    </w:p>
    <w:p w:rsidR="00771802" w:rsidRPr="00DD2E24" w:rsidRDefault="00771802" w:rsidP="00771802">
      <w:pPr>
        <w:spacing w:line="360" w:lineRule="auto"/>
        <w:ind w:firstLine="1418"/>
        <w:rPr>
          <w:color w:val="000000"/>
        </w:rPr>
      </w:pPr>
      <w:r>
        <w:rPr>
          <w:color w:val="000000"/>
        </w:rPr>
        <w:t xml:space="preserve">No presente caso, </w:t>
      </w:r>
      <w:r w:rsidRPr="00DD2E24">
        <w:rPr>
          <w:color w:val="000000"/>
        </w:rPr>
        <w:t>a informaç</w:t>
      </w:r>
      <w:r>
        <w:rPr>
          <w:color w:val="000000"/>
        </w:rPr>
        <w:t>ão requerida</w:t>
      </w:r>
      <w:r w:rsidRPr="00DD2E24">
        <w:rPr>
          <w:color w:val="000000"/>
        </w:rPr>
        <w:t xml:space="preserve"> </w:t>
      </w:r>
      <w:r>
        <w:rPr>
          <w:color w:val="000000"/>
        </w:rPr>
        <w:t xml:space="preserve">é justamente relativa a </w:t>
      </w:r>
      <w:r w:rsidRPr="00771802">
        <w:rPr>
          <w:i/>
          <w:color w:val="000000"/>
        </w:rPr>
        <w:t>atos do processo em si</w:t>
      </w:r>
      <w:r w:rsidR="008A4A17">
        <w:rPr>
          <w:i/>
          <w:color w:val="000000"/>
        </w:rPr>
        <w:t>:</w:t>
      </w:r>
      <w:r>
        <w:rPr>
          <w:color w:val="000000"/>
        </w:rPr>
        <w:t xml:space="preserve"> o </w:t>
      </w:r>
      <w:r w:rsidRPr="00771802">
        <w:rPr>
          <w:i/>
          <w:color w:val="000000"/>
        </w:rPr>
        <w:t>relatório circunstanciado</w:t>
      </w:r>
      <w:r>
        <w:rPr>
          <w:color w:val="000000"/>
        </w:rPr>
        <w:t xml:space="preserve"> de </w:t>
      </w:r>
      <w:r w:rsidRPr="00DD2E24">
        <w:rPr>
          <w:color w:val="000000"/>
        </w:rPr>
        <w:t xml:space="preserve">sindicância ou processo disciplinar ainda não concluído, </w:t>
      </w:r>
      <w:r w:rsidR="008A4A17">
        <w:rPr>
          <w:color w:val="000000"/>
        </w:rPr>
        <w:t>que se</w:t>
      </w:r>
      <w:r w:rsidRPr="00DD2E24">
        <w:rPr>
          <w:color w:val="000000"/>
        </w:rPr>
        <w:t xml:space="preserve"> </w:t>
      </w:r>
      <w:r w:rsidR="008A4A17">
        <w:rPr>
          <w:color w:val="000000"/>
        </w:rPr>
        <w:t xml:space="preserve">trata </w:t>
      </w:r>
      <w:r w:rsidRPr="00DD2E24">
        <w:rPr>
          <w:color w:val="000000"/>
        </w:rPr>
        <w:t xml:space="preserve">de dado </w:t>
      </w:r>
      <w:r w:rsidR="008A4A17">
        <w:rPr>
          <w:color w:val="000000"/>
        </w:rPr>
        <w:t>resguardado</w:t>
      </w:r>
      <w:r w:rsidRPr="00DD2E24">
        <w:rPr>
          <w:color w:val="000000"/>
        </w:rPr>
        <w:t xml:space="preserve"> por sigilo </w:t>
      </w:r>
      <w:r w:rsidR="008A4A17">
        <w:rPr>
          <w:color w:val="000000"/>
        </w:rPr>
        <w:t>-</w:t>
      </w:r>
      <w:r w:rsidRPr="00DD2E24">
        <w:rPr>
          <w:color w:val="000000"/>
        </w:rPr>
        <w:t>seja por determinação legal</w:t>
      </w:r>
      <w:r w:rsidR="008A4A17">
        <w:rPr>
          <w:color w:val="000000"/>
        </w:rPr>
        <w:t>, art. 207 da Lei Complementar Estadual nº 10.098/94</w:t>
      </w:r>
      <w:r w:rsidR="008A4A17">
        <w:rPr>
          <w:rStyle w:val="Refdenotaderodap"/>
          <w:color w:val="000000"/>
        </w:rPr>
        <w:footnoteReference w:id="6"/>
      </w:r>
      <w:r w:rsidRPr="00DD2E24">
        <w:rPr>
          <w:color w:val="000000"/>
        </w:rPr>
        <w:t xml:space="preserve">, </w:t>
      </w:r>
      <w:r w:rsidR="008A4A17">
        <w:rPr>
          <w:color w:val="000000"/>
        </w:rPr>
        <w:t xml:space="preserve">seja </w:t>
      </w:r>
      <w:r w:rsidRPr="00DD2E24">
        <w:rPr>
          <w:color w:val="000000"/>
        </w:rPr>
        <w:t xml:space="preserve">por se tratar de </w:t>
      </w:r>
      <w:r w:rsidR="008A4A17">
        <w:rPr>
          <w:color w:val="000000"/>
        </w:rPr>
        <w:t xml:space="preserve">documento que pode envolver </w:t>
      </w:r>
      <w:r w:rsidRPr="00DD2E24">
        <w:rPr>
          <w:color w:val="000000"/>
        </w:rPr>
        <w:t xml:space="preserve">informação </w:t>
      </w:r>
      <w:r w:rsidR="008A4A17">
        <w:rPr>
          <w:color w:val="000000"/>
        </w:rPr>
        <w:t xml:space="preserve">de caráter </w:t>
      </w:r>
      <w:r w:rsidRPr="00DD2E24">
        <w:rPr>
          <w:color w:val="000000"/>
        </w:rPr>
        <w:t>pessoal</w:t>
      </w:r>
      <w:r w:rsidR="008A4A17">
        <w:rPr>
          <w:color w:val="000000"/>
        </w:rPr>
        <w:t>, relativa à honra e imagem de eventuais pessoas investigadas</w:t>
      </w:r>
      <w:r w:rsidR="001F5121">
        <w:rPr>
          <w:color w:val="000000"/>
        </w:rPr>
        <w:t xml:space="preserve"> (art. 31 da LAI)</w:t>
      </w:r>
      <w:r w:rsidR="008A4A17">
        <w:rPr>
          <w:color w:val="000000"/>
        </w:rPr>
        <w:t xml:space="preserve">, em procedimento, além do mais, ainda não concluído, o que atrai a incidência, também, do art. </w:t>
      </w:r>
      <w:r w:rsidR="00362F8B">
        <w:rPr>
          <w:color w:val="000000"/>
        </w:rPr>
        <w:t>7º, § 3º, da LAI</w:t>
      </w:r>
      <w:r w:rsidR="00362F8B">
        <w:rPr>
          <w:rStyle w:val="Refdenotaderodap"/>
          <w:color w:val="000000"/>
        </w:rPr>
        <w:footnoteReference w:id="7"/>
      </w:r>
      <w:r w:rsidRPr="00DD2E24">
        <w:rPr>
          <w:color w:val="000000"/>
        </w:rPr>
        <w:t xml:space="preserve">. </w:t>
      </w:r>
    </w:p>
    <w:p w:rsidR="00771802" w:rsidRPr="00DD2E24" w:rsidRDefault="00771802" w:rsidP="00771802">
      <w:pPr>
        <w:spacing w:line="360" w:lineRule="auto"/>
        <w:ind w:firstLine="1418"/>
        <w:rPr>
          <w:color w:val="000000"/>
        </w:rPr>
      </w:pPr>
      <w:r w:rsidRPr="00DD2E24">
        <w:rPr>
          <w:color w:val="000000"/>
        </w:rPr>
        <w:lastRenderedPageBreak/>
        <w:t>Registre-se</w:t>
      </w:r>
      <w:r w:rsidR="009D4484">
        <w:rPr>
          <w:color w:val="000000"/>
        </w:rPr>
        <w:t>, ainda,</w:t>
      </w:r>
      <w:r w:rsidRPr="00DD2E24">
        <w:rPr>
          <w:color w:val="000000"/>
        </w:rPr>
        <w:t xml:space="preserve"> que a requerente não </w:t>
      </w:r>
      <w:r w:rsidR="009D4484">
        <w:rPr>
          <w:color w:val="000000"/>
        </w:rPr>
        <w:t>se identifica como parte interessada ou procuradora, a atrair a incidência da Súmula Vinculante nº 14/STF</w:t>
      </w:r>
      <w:r w:rsidR="009D4484">
        <w:rPr>
          <w:rStyle w:val="Refdenotaderodap"/>
          <w:color w:val="000000"/>
        </w:rPr>
        <w:footnoteReference w:id="8"/>
      </w:r>
      <w:r w:rsidRPr="00DD2E24">
        <w:rPr>
          <w:color w:val="000000"/>
        </w:rPr>
        <w:t xml:space="preserve">. </w:t>
      </w:r>
      <w:r w:rsidR="009D4484">
        <w:rPr>
          <w:color w:val="000000"/>
        </w:rPr>
        <w:t>Tampouco o eventual transcurso do prazo legalmente instituído para a conclusão do procedimento administrativo é causa apta a afastar as hipóteses legais de sigilo ou de restrição de acesso à informação, tendo, no máximo, consequências processuais ou relativas à prescrição</w:t>
      </w:r>
      <w:r w:rsidR="003F19ED">
        <w:rPr>
          <w:color w:val="000000"/>
        </w:rPr>
        <w:t xml:space="preserve"> de eventual direito punitivo do Estado</w:t>
      </w:r>
      <w:r w:rsidR="009D4484">
        <w:rPr>
          <w:color w:val="000000"/>
        </w:rPr>
        <w:t xml:space="preserve">. </w:t>
      </w:r>
    </w:p>
    <w:p w:rsidR="00771802" w:rsidRPr="00DD2E24" w:rsidRDefault="00771802" w:rsidP="00771802">
      <w:pPr>
        <w:spacing w:line="360" w:lineRule="auto"/>
        <w:ind w:firstLine="1418"/>
        <w:rPr>
          <w:color w:val="000000"/>
        </w:rPr>
      </w:pPr>
      <w:r w:rsidRPr="00DD2E24">
        <w:rPr>
          <w:color w:val="000000"/>
        </w:rPr>
        <w:t>Logo, e</w:t>
      </w:r>
      <w:r>
        <w:rPr>
          <w:color w:val="000000"/>
        </w:rPr>
        <w:t xml:space="preserve">m se tratando do fornecimento </w:t>
      </w:r>
      <w:r w:rsidR="00E161BD">
        <w:rPr>
          <w:color w:val="000000"/>
        </w:rPr>
        <w:t xml:space="preserve">a terceiro </w:t>
      </w:r>
      <w:r>
        <w:rPr>
          <w:color w:val="000000"/>
        </w:rPr>
        <w:t>de</w:t>
      </w:r>
      <w:r w:rsidRPr="00DD2E24">
        <w:rPr>
          <w:color w:val="000000"/>
        </w:rPr>
        <w:t xml:space="preserve"> cópia do </w:t>
      </w:r>
      <w:r w:rsidR="009D4484">
        <w:t>relatório circunstanciado relativo a procedimento disciplinar ainda não concluído</w:t>
      </w:r>
      <w:r w:rsidRPr="00DD2E24">
        <w:rPr>
          <w:color w:val="000000"/>
        </w:rPr>
        <w:t>, entende-se que há</w:t>
      </w:r>
      <w:r w:rsidR="003F19ED">
        <w:rPr>
          <w:color w:val="000000"/>
        </w:rPr>
        <w:t>, de fato,</w:t>
      </w:r>
      <w:r w:rsidRPr="00DD2E24">
        <w:rPr>
          <w:color w:val="000000"/>
        </w:rPr>
        <w:t xml:space="preserve"> </w:t>
      </w:r>
      <w:r w:rsidR="003F19ED">
        <w:rPr>
          <w:color w:val="000000"/>
        </w:rPr>
        <w:t xml:space="preserve">o </w:t>
      </w:r>
      <w:r w:rsidRPr="00DD2E24">
        <w:rPr>
          <w:color w:val="000000"/>
        </w:rPr>
        <w:t>óbice legal sustentado pelo órgão recorrido</w:t>
      </w:r>
      <w:r w:rsidR="003F19ED">
        <w:rPr>
          <w:color w:val="000000"/>
        </w:rPr>
        <w:t>,</w:t>
      </w:r>
      <w:r w:rsidRPr="00DD2E24">
        <w:rPr>
          <w:color w:val="000000"/>
        </w:rPr>
        <w:t xml:space="preserve"> </w:t>
      </w:r>
      <w:r w:rsidR="003F19ED">
        <w:rPr>
          <w:color w:val="000000"/>
        </w:rPr>
        <w:t>a</w:t>
      </w:r>
      <w:r w:rsidRPr="00DD2E24">
        <w:rPr>
          <w:color w:val="000000"/>
        </w:rPr>
        <w:t xml:space="preserve"> respald</w:t>
      </w:r>
      <w:r w:rsidR="003F19ED">
        <w:rPr>
          <w:color w:val="000000"/>
        </w:rPr>
        <w:t>ar</w:t>
      </w:r>
      <w:r w:rsidRPr="00DD2E24">
        <w:rPr>
          <w:color w:val="000000"/>
        </w:rPr>
        <w:t xml:space="preserve"> a não disponibilização da informação.</w:t>
      </w:r>
    </w:p>
    <w:p w:rsidR="00771802" w:rsidRPr="00DD2E24" w:rsidRDefault="00771802" w:rsidP="00771802">
      <w:pPr>
        <w:spacing w:line="360" w:lineRule="auto"/>
        <w:ind w:firstLine="1418"/>
        <w:rPr>
          <w:color w:val="000000"/>
        </w:rPr>
      </w:pPr>
      <w:r w:rsidRPr="00DD2E24">
        <w:rPr>
          <w:color w:val="000000"/>
        </w:rPr>
        <w:t xml:space="preserve">Assim, o voto vai no sentido de </w:t>
      </w:r>
      <w:r w:rsidR="00234A2F">
        <w:rPr>
          <w:color w:val="000000"/>
        </w:rPr>
        <w:t>desa</w:t>
      </w:r>
      <w:r w:rsidRPr="00DD2E24">
        <w:rPr>
          <w:color w:val="000000"/>
        </w:rPr>
        <w:t>colher o recurso da cidadã.</w:t>
      </w:r>
    </w:p>
    <w:p w:rsidR="00A25AE2" w:rsidRPr="00A25AE2" w:rsidRDefault="00A25AE2" w:rsidP="00A25AE2">
      <w:pPr>
        <w:suppressAutoHyphens/>
        <w:spacing w:line="360" w:lineRule="auto"/>
        <w:ind w:firstLine="1418"/>
        <w:rPr>
          <w:color w:val="000000"/>
          <w:lang w:eastAsia="ar-SA"/>
        </w:rPr>
      </w:pPr>
      <w:r w:rsidRPr="00A25AE2">
        <w:rPr>
          <w:color w:val="000000"/>
          <w:lang w:eastAsia="ar-SA"/>
        </w:rPr>
        <w:t xml:space="preserve">Por fim, em razão da </w:t>
      </w:r>
      <w:r w:rsidRPr="00A25AE2">
        <w:rPr>
          <w:b/>
          <w:color w:val="000000"/>
          <w:u w:val="single"/>
          <w:lang w:eastAsia="ar-SA"/>
        </w:rPr>
        <w:t>inobservância</w:t>
      </w:r>
      <w:r>
        <w:rPr>
          <w:b/>
          <w:color w:val="000000"/>
          <w:u w:val="single"/>
          <w:lang w:eastAsia="ar-SA"/>
        </w:rPr>
        <w:t xml:space="preserve"> da necessidade de resposta clara, detalhada e precisa</w:t>
      </w:r>
      <w:r w:rsidR="00A95F4C">
        <w:rPr>
          <w:color w:val="000000"/>
          <w:lang w:eastAsia="ar-SA"/>
        </w:rPr>
        <w:t xml:space="preserve"> quanto à relação entre as Portarias nºs 275/2015 e 95/2017</w:t>
      </w:r>
      <w:r w:rsidRPr="00A25AE2">
        <w:rPr>
          <w:color w:val="000000"/>
          <w:lang w:eastAsia="ar-SA"/>
        </w:rPr>
        <w:t xml:space="preserve">, recomenda-se o </w:t>
      </w:r>
      <w:r w:rsidRPr="00A95F4C">
        <w:rPr>
          <w:color w:val="000000"/>
          <w:lang w:eastAsia="ar-SA"/>
        </w:rPr>
        <w:t>envio da presente decisão para o órgão recorrido com a orientação de</w:t>
      </w:r>
      <w:r w:rsidR="00A95F4C" w:rsidRPr="00A95F4C">
        <w:rPr>
          <w:color w:val="000000"/>
          <w:lang w:eastAsia="ar-SA"/>
        </w:rPr>
        <w:t xml:space="preserve"> que</w:t>
      </w:r>
      <w:r w:rsidR="00373D11">
        <w:rPr>
          <w:color w:val="000000"/>
          <w:lang w:eastAsia="ar-SA"/>
        </w:rPr>
        <w:t xml:space="preserve"> a</w:t>
      </w:r>
      <w:r w:rsidR="00A95F4C" w:rsidRPr="00A95F4C">
        <w:rPr>
          <w:color w:val="000000"/>
          <w:lang w:eastAsia="ar-SA"/>
        </w:rPr>
        <w:t xml:space="preserve"> informação prestada via Serviço de Informação ao Cidadão - SIC é considerada um dado </w:t>
      </w:r>
      <w:r w:rsidR="00A95F4C" w:rsidRPr="00441DE6">
        <w:rPr>
          <w:i/>
          <w:color w:val="000000"/>
          <w:lang w:eastAsia="ar-SA"/>
        </w:rPr>
        <w:t>oficial</w:t>
      </w:r>
      <w:r w:rsidR="00A95F4C" w:rsidRPr="00A95F4C">
        <w:rPr>
          <w:color w:val="000000"/>
          <w:lang w:eastAsia="ar-SA"/>
        </w:rPr>
        <w:t xml:space="preserve"> do órgão e, portanto, do próprio Estado, devendo ser fornecida preferencialmente de forma primária (coletada na fonte e </w:t>
      </w:r>
      <w:r w:rsidR="00A95F4C" w:rsidRPr="00441DE6">
        <w:rPr>
          <w:i/>
          <w:color w:val="000000"/>
          <w:lang w:eastAsia="ar-SA"/>
        </w:rPr>
        <w:t>com o máximo de detalhamento possível</w:t>
      </w:r>
      <w:r w:rsidR="00A95F4C" w:rsidRPr="00A95F4C">
        <w:rPr>
          <w:color w:val="000000"/>
          <w:lang w:eastAsia="ar-SA"/>
        </w:rPr>
        <w:t>), íntegra (sem modificações) e autêntica (</w:t>
      </w:r>
      <w:r w:rsidR="00A95F4C" w:rsidRPr="00441DE6">
        <w:rPr>
          <w:i/>
          <w:color w:val="000000"/>
          <w:lang w:eastAsia="ar-SA"/>
        </w:rPr>
        <w:t>verdadeira</w:t>
      </w:r>
      <w:r w:rsidR="00A95F4C" w:rsidRPr="00A95F4C">
        <w:rPr>
          <w:color w:val="000000"/>
          <w:lang w:eastAsia="ar-SA"/>
        </w:rPr>
        <w:t xml:space="preserve">, a informação </w:t>
      </w:r>
      <w:r w:rsidR="00A95F4C" w:rsidRPr="00441DE6">
        <w:rPr>
          <w:i/>
          <w:color w:val="000000"/>
          <w:lang w:eastAsia="ar-SA"/>
        </w:rPr>
        <w:t>oficial</w:t>
      </w:r>
      <w:r w:rsidR="00A95F4C" w:rsidRPr="00A95F4C">
        <w:rPr>
          <w:color w:val="000000"/>
          <w:lang w:eastAsia="ar-SA"/>
        </w:rPr>
        <w:t xml:space="preserve"> produzida pelo ente público), nos termos do que dispõem os arts. 4º da LAI e do Decreto Estadual nº 49.111/2012, </w:t>
      </w:r>
      <w:r w:rsidR="00A95F4C" w:rsidRPr="00A95F4C">
        <w:rPr>
          <w:b/>
          <w:color w:val="000000"/>
          <w:u w:val="single"/>
          <w:lang w:eastAsia="ar-SA"/>
        </w:rPr>
        <w:t>não podendo ser vaga e imprecisa</w:t>
      </w:r>
      <w:r w:rsidRPr="00A25AE2">
        <w:rPr>
          <w:color w:val="000000"/>
          <w:lang w:eastAsia="ar-SA"/>
        </w:rPr>
        <w:t xml:space="preserve">. </w:t>
      </w:r>
    </w:p>
    <w:p w:rsidR="00771802" w:rsidRPr="005B02A9" w:rsidRDefault="00A25AE2" w:rsidP="005B02A9">
      <w:pPr>
        <w:suppressAutoHyphens/>
        <w:spacing w:line="360" w:lineRule="auto"/>
        <w:ind w:firstLine="1418"/>
        <w:rPr>
          <w:color w:val="000000"/>
          <w:lang w:eastAsia="ar-SA"/>
        </w:rPr>
      </w:pPr>
      <w:r>
        <w:rPr>
          <w:color w:val="000000"/>
          <w:lang w:eastAsia="ar-SA"/>
        </w:rPr>
        <w:t>No mais</w:t>
      </w:r>
      <w:r w:rsidRPr="00A25AE2">
        <w:rPr>
          <w:color w:val="000000"/>
          <w:lang w:eastAsia="ar-SA"/>
        </w:rPr>
        <w:t xml:space="preserve">, </w:t>
      </w:r>
      <w:r>
        <w:rPr>
          <w:color w:val="000000"/>
          <w:lang w:eastAsia="ar-SA"/>
        </w:rPr>
        <w:t>quanto à</w:t>
      </w:r>
      <w:r w:rsidRPr="00A25AE2">
        <w:rPr>
          <w:color w:val="000000"/>
          <w:lang w:eastAsia="ar-SA"/>
        </w:rPr>
        <w:t xml:space="preserve"> </w:t>
      </w:r>
      <w:r w:rsidRPr="00A25AE2">
        <w:rPr>
          <w:b/>
          <w:color w:val="000000"/>
          <w:u w:val="single"/>
          <w:lang w:eastAsia="ar-SA"/>
        </w:rPr>
        <w:t>inobservância do prazo legal de resposta do pedido de acesso à informação</w:t>
      </w:r>
      <w:r w:rsidRPr="00A25AE2">
        <w:rPr>
          <w:color w:val="000000"/>
          <w:lang w:eastAsia="ar-SA"/>
        </w:rPr>
        <w:t xml:space="preserve">, </w:t>
      </w:r>
      <w:r>
        <w:rPr>
          <w:color w:val="000000"/>
          <w:lang w:eastAsia="ar-SA"/>
        </w:rPr>
        <w:t>entendo desnecessário, nesse momento, o</w:t>
      </w:r>
      <w:r w:rsidRPr="00A25AE2">
        <w:rPr>
          <w:color w:val="000000"/>
          <w:lang w:eastAsia="ar-SA"/>
        </w:rPr>
        <w:t xml:space="preserve"> </w:t>
      </w:r>
      <w:r w:rsidRPr="00A25AE2">
        <w:rPr>
          <w:color w:val="000000"/>
          <w:lang w:eastAsia="ar-SA"/>
        </w:rPr>
        <w:lastRenderedPageBreak/>
        <w:t>envio da presente decisão para o órgão recorrido com a orientação de que, caso sejam verificadas condutas reiteradas neste sentido, poderão ocorrer futuras responsabilizações, nos termos da Lei</w:t>
      </w:r>
      <w:r>
        <w:rPr>
          <w:color w:val="000000"/>
          <w:lang w:eastAsia="ar-SA"/>
        </w:rPr>
        <w:t>, pois tal providência já foi adotada em relação às demandas decididas na sessão anterior, da qual o presente caso faz parte, sendo julgado hoje apenas em razão de pedido de vista</w:t>
      </w:r>
      <w:r w:rsidRPr="00A25AE2">
        <w:rPr>
          <w:color w:val="000000"/>
          <w:lang w:eastAsia="ar-SA"/>
        </w:rPr>
        <w:t xml:space="preserve">. </w:t>
      </w:r>
    </w:p>
    <w:p w:rsidR="00084982" w:rsidRPr="00B10C7A" w:rsidRDefault="00084982" w:rsidP="00084982">
      <w:pPr>
        <w:pStyle w:val="PargrafoNormal"/>
        <w:ind w:firstLine="1440"/>
        <w:rPr>
          <w:color w:val="000000"/>
        </w:rPr>
      </w:pPr>
      <w:r w:rsidRPr="00B10C7A">
        <w:rPr>
          <w:b/>
          <w:color w:val="000000"/>
        </w:rPr>
        <w:t>Rec</w:t>
      </w:r>
      <w:r w:rsidR="00234A2F" w:rsidRPr="00B10C7A">
        <w:rPr>
          <w:b/>
          <w:color w:val="000000"/>
        </w:rPr>
        <w:t>urso na Demanda Nº 17.071: Negado provimento, por maioria</w:t>
      </w:r>
      <w:r w:rsidRPr="005B02A9">
        <w:rPr>
          <w:b/>
          <w:color w:val="000000"/>
        </w:rPr>
        <w:t>.</w:t>
      </w:r>
      <w:r w:rsidR="005B02A9" w:rsidRPr="005B02A9">
        <w:rPr>
          <w:b/>
          <w:color w:val="000000"/>
        </w:rPr>
        <w:t xml:space="preserve"> Vencido o Relator.</w:t>
      </w:r>
    </w:p>
    <w:p w:rsidR="00866F67" w:rsidRDefault="00866F67" w:rsidP="00500F0B">
      <w:pPr>
        <w:pStyle w:val="PargrafoNormal"/>
        <w:spacing w:after="0"/>
        <w:ind w:firstLine="1440"/>
      </w:pPr>
    </w:p>
    <w:sectPr w:rsidR="00866F67" w:rsidSect="00866F67">
      <w:headerReference w:type="default" r:id="rId7"/>
      <w:footerReference w:type="default" r:id="rId8"/>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9E" w:rsidRDefault="0027799E" w:rsidP="00866F67">
      <w:r>
        <w:separator/>
      </w:r>
    </w:p>
  </w:endnote>
  <w:endnote w:type="continuationSeparator" w:id="1">
    <w:p w:rsidR="0027799E" w:rsidRDefault="0027799E" w:rsidP="0086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D8" w:rsidRDefault="00075ED8">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9E" w:rsidRDefault="0027799E" w:rsidP="00866F67">
      <w:r>
        <w:separator/>
      </w:r>
    </w:p>
  </w:footnote>
  <w:footnote w:type="continuationSeparator" w:id="1">
    <w:p w:rsidR="0027799E" w:rsidRDefault="0027799E" w:rsidP="00866F67">
      <w:r>
        <w:continuationSeparator/>
      </w:r>
    </w:p>
  </w:footnote>
  <w:footnote w:id="2">
    <w:p w:rsidR="006C50C5" w:rsidRPr="00582F57" w:rsidRDefault="006C50C5" w:rsidP="006C50C5">
      <w:pPr>
        <w:pStyle w:val="Textodenotaderodap"/>
        <w:rPr>
          <w:color w:val="auto"/>
        </w:rPr>
      </w:pPr>
      <w:r w:rsidRPr="00582F57">
        <w:rPr>
          <w:rStyle w:val="Refdenotaderodap"/>
          <w:color w:val="auto"/>
        </w:rPr>
        <w:footnoteRef/>
      </w:r>
      <w:r w:rsidRPr="00582F57">
        <w:rPr>
          <w:color w:val="auto"/>
        </w:rPr>
        <w:t xml:space="preserve"> Art. 9º, §1º e §3º, do Decreto nº 49.111/2012: 20 (vinte) dias, prorrogáveis, mediante justificativa expressa, por mais 10 (dez) dias.</w:t>
      </w:r>
    </w:p>
  </w:footnote>
  <w:footnote w:id="3">
    <w:p w:rsidR="00DE315A" w:rsidRDefault="00DE315A">
      <w:pPr>
        <w:pStyle w:val="Textodenotaderodap"/>
      </w:pPr>
      <w:r>
        <w:rPr>
          <w:rStyle w:val="Refdenotaderodap"/>
        </w:rPr>
        <w:footnoteRef/>
      </w:r>
      <w:r>
        <w:t xml:space="preserve"> </w:t>
      </w:r>
      <w:r>
        <w:rPr>
          <w:rFonts w:ascii="Tahoma" w:hAnsi="Tahoma" w:cs="Tahoma"/>
          <w:color w:val="385260"/>
          <w:sz w:val="13"/>
          <w:szCs w:val="13"/>
          <w:shd w:val="clear" w:color="auto" w:fill="FFFFFF"/>
        </w:rPr>
        <w:t>É direito do defensor, no interesse do representado, ter acesso amplo aos elementos de prova que, já documentados em procedimento investigatório realizado por órgão com competência de polícia judiciária, digam respeito ao exercício do direito de defesa.</w:t>
      </w:r>
    </w:p>
  </w:footnote>
  <w:footnote w:id="4">
    <w:p w:rsidR="00A25AE2" w:rsidRDefault="00A25AE2" w:rsidP="00A25AE2">
      <w:pPr>
        <w:pStyle w:val="Textodenotaderodap"/>
      </w:pPr>
      <w:r>
        <w:rPr>
          <w:rStyle w:val="Refdenotaderodap"/>
        </w:rPr>
        <w:footnoteRef/>
      </w:r>
      <w:r>
        <w:t xml:space="preserve"> “</w:t>
      </w:r>
      <w:r w:rsidRPr="00F77286">
        <w:t>Art. 4o Para os efeitos desta Lei, considera</w:t>
      </w:r>
      <w:r>
        <w:t>-</w:t>
      </w:r>
      <w:r w:rsidRPr="00F77286">
        <w:t>se:</w:t>
      </w:r>
    </w:p>
    <w:p w:rsidR="00A25AE2" w:rsidRDefault="00A25AE2" w:rsidP="00A25AE2">
      <w:pPr>
        <w:pStyle w:val="Textodenotaderodap"/>
      </w:pPr>
      <w:r>
        <w:t>(...)</w:t>
      </w:r>
    </w:p>
    <w:p w:rsidR="00A25AE2" w:rsidRDefault="00A25AE2" w:rsidP="00A25AE2">
      <w:pPr>
        <w:pStyle w:val="Textodenotaderodap"/>
      </w:pPr>
      <w:r>
        <w:t>VII autenticidade: qualidade da informação que tenha sido produzida, expedida, recebida ou modificada por determinado indivíduo, equipamento ou sistema;</w:t>
      </w:r>
    </w:p>
    <w:p w:rsidR="00A25AE2" w:rsidRDefault="00A25AE2" w:rsidP="00A25AE2">
      <w:pPr>
        <w:pStyle w:val="Textodenotaderodap"/>
      </w:pPr>
      <w:r>
        <w:t>VIII integridade: qualidade da informação não modificada, inclusive quanto à origem, trânsito e destino;</w:t>
      </w:r>
    </w:p>
    <w:p w:rsidR="00A25AE2" w:rsidRDefault="00A25AE2" w:rsidP="00A25AE2">
      <w:pPr>
        <w:pStyle w:val="Textodenotaderodap"/>
      </w:pPr>
      <w:r>
        <w:t>IX primariedade: qualidade da informação coletada na fonte, com o máximo de detalhamento possível, sem modificações.”</w:t>
      </w:r>
    </w:p>
  </w:footnote>
  <w:footnote w:id="5">
    <w:p w:rsidR="00A25AE2" w:rsidRDefault="00A25AE2" w:rsidP="00A25AE2">
      <w:pPr>
        <w:pStyle w:val="Textodenotaderodap"/>
      </w:pPr>
      <w:r>
        <w:rPr>
          <w:rStyle w:val="Refdenotaderodap"/>
        </w:rPr>
        <w:footnoteRef/>
      </w:r>
      <w:r>
        <w:t xml:space="preserve"> “</w:t>
      </w:r>
      <w:r w:rsidRPr="00F77286">
        <w:t>Art. 4º Para os efeitos deste Decreto considera-se:</w:t>
      </w:r>
    </w:p>
    <w:p w:rsidR="00A25AE2" w:rsidRDefault="00A25AE2" w:rsidP="00A25AE2">
      <w:pPr>
        <w:pStyle w:val="Textodenotaderodap"/>
      </w:pPr>
      <w:r>
        <w:t>(...)</w:t>
      </w:r>
    </w:p>
    <w:p w:rsidR="00A25AE2" w:rsidRDefault="00A25AE2" w:rsidP="00A25AE2">
      <w:pPr>
        <w:pStyle w:val="Textodenotaderodap"/>
      </w:pPr>
      <w:r>
        <w:t>VII - autenticidade: qualidade da informação que tenha sido produzida, expedida, recebida ou modificada por determinado indivíduo, equipamento ou sistema;</w:t>
      </w:r>
    </w:p>
    <w:p w:rsidR="00A25AE2" w:rsidRDefault="00A25AE2" w:rsidP="00A25AE2">
      <w:pPr>
        <w:pStyle w:val="Textodenotaderodap"/>
      </w:pPr>
      <w:r>
        <w:t>VIII - integridade: qualidade da informação não modificada, inclusive quanto à origem, trânsito e destino;</w:t>
      </w:r>
    </w:p>
    <w:p w:rsidR="00A25AE2" w:rsidRDefault="00A25AE2" w:rsidP="00A25AE2">
      <w:pPr>
        <w:pStyle w:val="Textodenotaderodap"/>
      </w:pPr>
      <w:r>
        <w:t>IX - primariedade: qualidade da informação coletada na fonte, com o máximo de detalhamento possível, sem modificações;</w:t>
      </w:r>
    </w:p>
    <w:p w:rsidR="00A25AE2" w:rsidRDefault="00A25AE2" w:rsidP="00A25AE2">
      <w:pPr>
        <w:pStyle w:val="Textodenotaderodap"/>
      </w:pPr>
      <w:r>
        <w:t>(...)”</w:t>
      </w:r>
    </w:p>
  </w:footnote>
  <w:footnote w:id="6">
    <w:p w:rsidR="008A4A17" w:rsidRDefault="008A4A17" w:rsidP="008A4A17">
      <w:pPr>
        <w:pStyle w:val="Textodenotaderodap"/>
      </w:pPr>
      <w:r>
        <w:rPr>
          <w:rStyle w:val="Refdenotaderodap"/>
        </w:rPr>
        <w:footnoteRef/>
      </w:r>
      <w:r>
        <w:t xml:space="preserve"> “Art. 207 - A comissão exercerá suas atividades com independência e imparcialidade, assegurando o sigilo absoluto e necessário à elucidação do fato, ou exigido pelo interesse da Administração.</w:t>
      </w:r>
    </w:p>
    <w:p w:rsidR="008A4A17" w:rsidRPr="008A4A17" w:rsidRDefault="008A4A17" w:rsidP="008A4A17">
      <w:pPr>
        <w:pStyle w:val="Textodenotaderodap"/>
      </w:pPr>
      <w:r w:rsidRPr="008A4A17">
        <w:t>Parágrafo único - As reuniões e as audiências das comissões terão caráter reservado.</w:t>
      </w:r>
      <w:r>
        <w:t>”</w:t>
      </w:r>
      <w:r>
        <w:cr/>
      </w:r>
    </w:p>
  </w:footnote>
  <w:footnote w:id="7">
    <w:p w:rsidR="00362F8B" w:rsidRDefault="00362F8B">
      <w:pPr>
        <w:pStyle w:val="Textodenotaderodap"/>
      </w:pPr>
      <w:r>
        <w:rPr>
          <w:rStyle w:val="Refdenotaderodap"/>
        </w:rPr>
        <w:footnoteRef/>
      </w:r>
      <w:r>
        <w:t xml:space="preserve"> “</w:t>
      </w:r>
      <w:r w:rsidRPr="00362F8B">
        <w:t>Art. 7o O acesso à informação de que trata esta Lei compreende, entre outros, os direitos de</w:t>
      </w:r>
      <w:r>
        <w:t xml:space="preserve"> </w:t>
      </w:r>
      <w:r w:rsidRPr="00362F8B">
        <w:t>obter:</w:t>
      </w:r>
    </w:p>
    <w:p w:rsidR="00362F8B" w:rsidRDefault="00362F8B">
      <w:pPr>
        <w:pStyle w:val="Textodenotaderodap"/>
      </w:pPr>
      <w:r>
        <w:t>(...)</w:t>
      </w:r>
    </w:p>
    <w:p w:rsidR="00362F8B" w:rsidRDefault="00362F8B" w:rsidP="00362F8B">
      <w:pPr>
        <w:pStyle w:val="Textodenotaderodap"/>
      </w:pPr>
      <w:r w:rsidRPr="00362F8B">
        <w:t xml:space="preserve">§ 3o </w:t>
      </w:r>
      <w:r w:rsidRPr="00362F8B">
        <w:rPr>
          <w:b/>
          <w:u w:val="single"/>
        </w:rPr>
        <w:t>O direito de acesso aos documentos ou às informações neles contidas utilizados como fundamento da tomada de decisão e do ato administrativo será assegurado com a edição do ato decisório respectivo</w:t>
      </w:r>
      <w:r w:rsidRPr="00362F8B">
        <w:t>.</w:t>
      </w:r>
    </w:p>
    <w:p w:rsidR="00362F8B" w:rsidRPr="00362F8B" w:rsidRDefault="00362F8B" w:rsidP="00362F8B">
      <w:pPr>
        <w:pStyle w:val="Textodenotaderodap"/>
      </w:pPr>
      <w:r>
        <w:t>(...)” (g.n.)</w:t>
      </w:r>
    </w:p>
  </w:footnote>
  <w:footnote w:id="8">
    <w:p w:rsidR="009D4484" w:rsidRPr="009D4484" w:rsidRDefault="009D4484">
      <w:pPr>
        <w:pStyle w:val="Textodenotaderodap"/>
      </w:pPr>
      <w:r>
        <w:rPr>
          <w:rStyle w:val="Refdenotaderodap"/>
        </w:rPr>
        <w:footnoteRef/>
      </w:r>
      <w:r>
        <w:t xml:space="preserve"> “</w:t>
      </w:r>
      <w:r w:rsidRPr="009D4484">
        <w:t>É direito do defensor, no interesse do representado, ter acesso amplo aos elementos de prova que, já documentados em procedimento investigatório realizado por órgão com competência de polícia judiciária, digam respeito ao exercício do direito de defesa.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D8" w:rsidRDefault="00C05963">
    <w:pPr>
      <w:pStyle w:val="Cabealho"/>
      <w:jc w:val="center"/>
    </w:pPr>
    <w:r>
      <w:pict>
        <v:group id="shape_0" o:spid="_x0000_s2050" alt="shape_0" style="position:absolute;left:0;text-align:left;margin-left:153.3pt;margin-top:45.15pt;width:247.45pt;height:1in;z-index:251657728" coordorigin="3066,903" coordsize="4949,1440">
          <v:rect id="_x0000_s2051" style="position:absolute;left:3066;top:903;width:987;height:1439;mso-position-horizontal-relative:page" stroked="f" strokecolor="#3465a4">
            <v:stroke joinstyle="round"/>
            <v:imagedata r:id="rId1" o:title="image1"/>
          </v:rect>
        </v:group>
      </w:pict>
    </w:r>
  </w:p>
  <w:p w:rsidR="00075ED8" w:rsidRDefault="00075ED8">
    <w:pPr>
      <w:pStyle w:val="Cabealho"/>
      <w:jc w:val="center"/>
    </w:pPr>
  </w:p>
  <w:p w:rsidR="00075ED8" w:rsidRDefault="00075ED8">
    <w:pPr>
      <w:pStyle w:val="Cabealho"/>
      <w:jc w:val="center"/>
    </w:pPr>
  </w:p>
  <w:p w:rsidR="00075ED8" w:rsidRDefault="00075ED8">
    <w:pPr>
      <w:pStyle w:val="Cabealho"/>
      <w:jc w:val="center"/>
    </w:pPr>
  </w:p>
  <w:p w:rsidR="00075ED8" w:rsidRDefault="00075ED8">
    <w:pPr>
      <w:pStyle w:val="Cabealho"/>
      <w:jc w:val="center"/>
    </w:pPr>
  </w:p>
  <w:p w:rsidR="00075ED8" w:rsidRDefault="00075ED8">
    <w:pPr>
      <w:pStyle w:val="Cabealho"/>
    </w:pPr>
  </w:p>
  <w:p w:rsidR="00075ED8" w:rsidRDefault="00075ED8">
    <w:pPr>
      <w:pStyle w:val="Cabealho"/>
    </w:pPr>
  </w:p>
  <w:p w:rsidR="00075ED8" w:rsidRDefault="00075ED8">
    <w:pPr>
      <w:pStyle w:val="Cabealho"/>
    </w:pPr>
  </w:p>
  <w:p w:rsidR="00075ED8" w:rsidRDefault="00075ED8">
    <w:pPr>
      <w:pStyle w:val="Cabealho"/>
    </w:pPr>
  </w:p>
  <w:p w:rsidR="00075ED8" w:rsidRPr="005043A1" w:rsidRDefault="00075ED8">
    <w:pPr>
      <w:pStyle w:val="Cabealho"/>
    </w:pPr>
  </w:p>
  <w:p w:rsidR="00BE3A91" w:rsidRPr="005043A1" w:rsidRDefault="00BE3A91">
    <w:pPr>
      <w:pStyle w:val="Cabealho"/>
    </w:pPr>
    <w:r w:rsidRPr="005043A1">
      <w:t>ssp</w:t>
    </w:r>
  </w:p>
  <w:p w:rsidR="00075ED8" w:rsidRPr="005043A1" w:rsidRDefault="005043A1">
    <w:pPr>
      <w:pStyle w:val="Cabealho"/>
    </w:pPr>
    <w:r w:rsidRPr="005043A1">
      <w:t>decisão Nº 012</w:t>
    </w:r>
    <w:r w:rsidR="00075ED8" w:rsidRPr="005043A1">
      <w:t>/2017</w:t>
    </w:r>
  </w:p>
  <w:p w:rsidR="00075ED8" w:rsidRPr="005043A1" w:rsidRDefault="00075ED8">
    <w:pPr>
      <w:pStyle w:val="Cabealho"/>
      <w:tabs>
        <w:tab w:val="right" w:pos="8460"/>
      </w:tabs>
    </w:pPr>
    <w:r w:rsidRPr="005043A1">
      <w:t>2017/</w:t>
    </w:r>
    <w:r w:rsidR="005043A1" w:rsidRPr="005043A1">
      <w:t>SECRETARIA DA</w:t>
    </w:r>
    <w:r w:rsidR="00431BB0" w:rsidRPr="005043A1">
      <w:t xml:space="preserve"> EDUCAÇÃO</w:t>
    </w:r>
  </w:p>
  <w:p w:rsidR="00075ED8" w:rsidRDefault="00075ED8">
    <w:pPr>
      <w:pStyle w:val="Cabealho"/>
      <w:tabs>
        <w:tab w:val="right" w:pos="84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66F67"/>
    <w:rsid w:val="0000343B"/>
    <w:rsid w:val="000135BE"/>
    <w:rsid w:val="00063514"/>
    <w:rsid w:val="00067183"/>
    <w:rsid w:val="00075C59"/>
    <w:rsid w:val="00075ED8"/>
    <w:rsid w:val="00084982"/>
    <w:rsid w:val="0012786D"/>
    <w:rsid w:val="001425F6"/>
    <w:rsid w:val="001A2466"/>
    <w:rsid w:val="001D0CBF"/>
    <w:rsid w:val="001E4B78"/>
    <w:rsid w:val="001F5121"/>
    <w:rsid w:val="0022591D"/>
    <w:rsid w:val="00234A2F"/>
    <w:rsid w:val="00262144"/>
    <w:rsid w:val="002766B7"/>
    <w:rsid w:val="0027799E"/>
    <w:rsid w:val="002C7431"/>
    <w:rsid w:val="002C7954"/>
    <w:rsid w:val="0034344A"/>
    <w:rsid w:val="00362F8B"/>
    <w:rsid w:val="00373D11"/>
    <w:rsid w:val="003C7316"/>
    <w:rsid w:val="003D557D"/>
    <w:rsid w:val="003F19ED"/>
    <w:rsid w:val="004103D8"/>
    <w:rsid w:val="00410B99"/>
    <w:rsid w:val="00431BB0"/>
    <w:rsid w:val="00441DE6"/>
    <w:rsid w:val="00446054"/>
    <w:rsid w:val="004647EF"/>
    <w:rsid w:val="004829CC"/>
    <w:rsid w:val="004A1FD3"/>
    <w:rsid w:val="004B588B"/>
    <w:rsid w:val="004C3098"/>
    <w:rsid w:val="004F1D58"/>
    <w:rsid w:val="004F5DFA"/>
    <w:rsid w:val="00500F0B"/>
    <w:rsid w:val="005043A1"/>
    <w:rsid w:val="00576C04"/>
    <w:rsid w:val="00576F46"/>
    <w:rsid w:val="00582F57"/>
    <w:rsid w:val="005A45BF"/>
    <w:rsid w:val="005B02A9"/>
    <w:rsid w:val="005D404C"/>
    <w:rsid w:val="005E052F"/>
    <w:rsid w:val="0060280F"/>
    <w:rsid w:val="00610B67"/>
    <w:rsid w:val="006769D7"/>
    <w:rsid w:val="00693B6A"/>
    <w:rsid w:val="006C50C5"/>
    <w:rsid w:val="006D17F3"/>
    <w:rsid w:val="0072136F"/>
    <w:rsid w:val="00771802"/>
    <w:rsid w:val="007766F6"/>
    <w:rsid w:val="0079496C"/>
    <w:rsid w:val="007A2D96"/>
    <w:rsid w:val="007D0EAC"/>
    <w:rsid w:val="00852B11"/>
    <w:rsid w:val="008627AD"/>
    <w:rsid w:val="00866F67"/>
    <w:rsid w:val="008A114D"/>
    <w:rsid w:val="008A4A17"/>
    <w:rsid w:val="008B546C"/>
    <w:rsid w:val="008F6551"/>
    <w:rsid w:val="009013E6"/>
    <w:rsid w:val="00905481"/>
    <w:rsid w:val="00925B77"/>
    <w:rsid w:val="009618F2"/>
    <w:rsid w:val="00980A3D"/>
    <w:rsid w:val="009C0371"/>
    <w:rsid w:val="009D4484"/>
    <w:rsid w:val="00A10ECD"/>
    <w:rsid w:val="00A25AE2"/>
    <w:rsid w:val="00A460B9"/>
    <w:rsid w:val="00A90716"/>
    <w:rsid w:val="00A944E9"/>
    <w:rsid w:val="00A95F4C"/>
    <w:rsid w:val="00AC76DD"/>
    <w:rsid w:val="00B10C7A"/>
    <w:rsid w:val="00B16376"/>
    <w:rsid w:val="00B20B6B"/>
    <w:rsid w:val="00B20D21"/>
    <w:rsid w:val="00B23443"/>
    <w:rsid w:val="00B66FD7"/>
    <w:rsid w:val="00B72C43"/>
    <w:rsid w:val="00B8458B"/>
    <w:rsid w:val="00BA6B86"/>
    <w:rsid w:val="00BE3A91"/>
    <w:rsid w:val="00BF1DDF"/>
    <w:rsid w:val="00C05963"/>
    <w:rsid w:val="00C1051F"/>
    <w:rsid w:val="00C22A7F"/>
    <w:rsid w:val="00C43FD0"/>
    <w:rsid w:val="00CC60F5"/>
    <w:rsid w:val="00D421C2"/>
    <w:rsid w:val="00D62827"/>
    <w:rsid w:val="00D821DC"/>
    <w:rsid w:val="00DD4F7F"/>
    <w:rsid w:val="00DE315A"/>
    <w:rsid w:val="00DF5B53"/>
    <w:rsid w:val="00E161BD"/>
    <w:rsid w:val="00E26ED4"/>
    <w:rsid w:val="00E36731"/>
    <w:rsid w:val="00E60ECD"/>
    <w:rsid w:val="00E92F97"/>
    <w:rsid w:val="00EB08E3"/>
    <w:rsid w:val="00EC62C6"/>
    <w:rsid w:val="00EE4F32"/>
    <w:rsid w:val="00F55142"/>
    <w:rsid w:val="00F74A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paragraph" w:styleId="Ttulo">
    <w:name w:val="Title"/>
    <w:basedOn w:val="Normal"/>
    <w:next w:val="Corpodetexto"/>
    <w:qFormat/>
    <w:rsid w:val="00866F67"/>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rPr>
      <w:color w:val="auto"/>
    </w:rPr>
  </w:style>
  <w:style w:type="paragraph" w:customStyle="1" w:styleId="PargrafoNormalChar">
    <w:name w:val="Parágrafo Normal Char"/>
    <w:basedOn w:val="Normal"/>
    <w:link w:val="PargrafoNormalCharChar1"/>
    <w:qFormat/>
    <w:rsid w:val="00830390"/>
    <w:pPr>
      <w:spacing w:after="60" w:line="360" w:lineRule="auto"/>
      <w:ind w:firstLine="1418"/>
    </w:pPr>
    <w:rPr>
      <w:color w:val="auto"/>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notaderodap">
    <w:name w:val="footnote text"/>
    <w:basedOn w:val="Normal"/>
    <w:link w:val="TextodenotaderodapChar"/>
    <w:uiPriority w:val="99"/>
    <w:semiHidden/>
    <w:unhideWhenUsed/>
    <w:rsid w:val="00DE315A"/>
    <w:rPr>
      <w:rFonts w:cs="Times New Roman"/>
      <w:sz w:val="20"/>
      <w:szCs w:val="20"/>
    </w:rPr>
  </w:style>
  <w:style w:type="character" w:customStyle="1" w:styleId="TextodenotaderodapChar">
    <w:name w:val="Texto de nota de rodapé Char"/>
    <w:link w:val="Textodenotaderodap"/>
    <w:uiPriority w:val="99"/>
    <w:semiHidden/>
    <w:rsid w:val="00DE315A"/>
    <w:rPr>
      <w:rFonts w:ascii="Arial" w:hAnsi="Arial" w:cs="Arial"/>
      <w:color w:val="00000A"/>
    </w:rPr>
  </w:style>
  <w:style w:type="character" w:styleId="Refdenotaderodap">
    <w:name w:val="footnote reference"/>
    <w:uiPriority w:val="99"/>
    <w:semiHidden/>
    <w:unhideWhenUsed/>
    <w:rsid w:val="00DE315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CEA7A-3F89-4F5D-B6FA-A5101735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10520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liliana-barcellos</cp:lastModifiedBy>
  <cp:revision>2</cp:revision>
  <cp:lastPrinted>2004-02-18T20:05:00Z</cp:lastPrinted>
  <dcterms:created xsi:type="dcterms:W3CDTF">2018-02-20T13:55:00Z</dcterms:created>
  <dcterms:modified xsi:type="dcterms:W3CDTF">2018-02-20T13:55:00Z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