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5B" w:rsidRPr="008C564D" w:rsidRDefault="0067295B" w:rsidP="0067295B">
      <w:pPr>
        <w:ind w:left="2835"/>
        <w:rPr>
          <w:b/>
          <w:bCs/>
          <w:color w:val="auto"/>
        </w:rPr>
      </w:pPr>
      <w:r w:rsidRPr="008C564D">
        <w:rPr>
          <w:b/>
          <w:color w:val="auto"/>
        </w:rPr>
        <w:t xml:space="preserve">RECURSO. IGP. </w:t>
      </w:r>
      <w:r w:rsidRPr="008C564D">
        <w:rPr>
          <w:b/>
          <w:bCs/>
          <w:color w:val="auto"/>
        </w:rPr>
        <w:t>DIREITO DE ACESSO À INFORMAÇÃO ATENDIDO</w:t>
      </w:r>
      <w:r w:rsidRPr="008C564D">
        <w:rPr>
          <w:b/>
          <w:color w:val="auto"/>
        </w:rPr>
        <w:t>. A mera discordância do interessado quanto ao mérito da informação fornecida ou a solicitação de adoção de outras providências não se enquadra como solicitação de acesso à informação, refugindo à competência desta CMRI/RS. Incidência da Súmula</w:t>
      </w:r>
      <w:r w:rsidR="004930B1" w:rsidRPr="008C564D">
        <w:rPr>
          <w:b/>
          <w:color w:val="auto"/>
        </w:rPr>
        <w:t xml:space="preserve"> CMRI/RS</w:t>
      </w:r>
      <w:r w:rsidRPr="008C564D">
        <w:rPr>
          <w:b/>
          <w:color w:val="auto"/>
        </w:rPr>
        <w:t xml:space="preserve"> nº 03. </w:t>
      </w:r>
      <w:r w:rsidR="004930B1" w:rsidRPr="008C564D">
        <w:rPr>
          <w:b/>
          <w:color w:val="auto"/>
        </w:rPr>
        <w:t>RECURSO NÃO CONHECIDO</w:t>
      </w:r>
      <w:r w:rsidRPr="008C564D">
        <w:rPr>
          <w:b/>
          <w:bCs/>
          <w:color w:val="auto"/>
        </w:rPr>
        <w:t>.</w:t>
      </w:r>
    </w:p>
    <w:tbl>
      <w:tblPr>
        <w:tblW w:w="8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8C564D" w:rsidRPr="008C564D" w:rsidTr="00D36AB9">
        <w:tc>
          <w:tcPr>
            <w:tcW w:w="4322" w:type="dxa"/>
            <w:shd w:val="clear" w:color="auto" w:fill="auto"/>
          </w:tcPr>
          <w:p w:rsidR="0067295B" w:rsidRPr="008C564D" w:rsidRDefault="0067295B" w:rsidP="006D616D">
            <w:pPr>
              <w:pStyle w:val="DadosCadastrais"/>
              <w:rPr>
                <w:color w:val="auto"/>
              </w:rPr>
            </w:pPr>
          </w:p>
          <w:p w:rsidR="00BF69D7" w:rsidRPr="008C564D" w:rsidRDefault="00BF69D7" w:rsidP="006D616D">
            <w:pPr>
              <w:pStyle w:val="DadosCadastrais"/>
              <w:rPr>
                <w:color w:val="auto"/>
              </w:rPr>
            </w:pPr>
          </w:p>
          <w:p w:rsidR="007758E1" w:rsidRPr="008C564D" w:rsidRDefault="006D616D" w:rsidP="006D616D">
            <w:pPr>
              <w:pStyle w:val="DadosCadastrais"/>
              <w:rPr>
                <w:color w:val="auto"/>
              </w:rPr>
            </w:pPr>
            <w:r w:rsidRPr="008C564D">
              <w:rPr>
                <w:color w:val="auto"/>
              </w:rPr>
              <w:t>RECURSO</w:t>
            </w:r>
          </w:p>
          <w:p w:rsidR="006D616D" w:rsidRPr="008C564D" w:rsidRDefault="006D616D" w:rsidP="006D616D">
            <w:pPr>
              <w:pStyle w:val="DadosCadastrais"/>
              <w:rPr>
                <w:color w:val="auto"/>
              </w:rPr>
            </w:pPr>
          </w:p>
        </w:tc>
        <w:tc>
          <w:tcPr>
            <w:tcW w:w="4323" w:type="dxa"/>
            <w:shd w:val="clear" w:color="auto" w:fill="auto"/>
          </w:tcPr>
          <w:p w:rsidR="007758E1" w:rsidRPr="008C564D" w:rsidRDefault="007758E1">
            <w:pPr>
              <w:pStyle w:val="DadosCadastrais"/>
              <w:jc w:val="right"/>
              <w:rPr>
                <w:color w:val="auto"/>
              </w:rPr>
            </w:pPr>
          </w:p>
        </w:tc>
      </w:tr>
      <w:tr w:rsidR="008C564D" w:rsidRPr="008C564D" w:rsidTr="00D36AB9">
        <w:tc>
          <w:tcPr>
            <w:tcW w:w="4322" w:type="dxa"/>
            <w:shd w:val="clear" w:color="auto" w:fill="auto"/>
          </w:tcPr>
          <w:p w:rsidR="007758E1" w:rsidRPr="008C564D" w:rsidRDefault="007B19CD">
            <w:pPr>
              <w:pStyle w:val="DadosCadastrais"/>
              <w:rPr>
                <w:color w:val="auto"/>
              </w:rPr>
            </w:pPr>
            <w:r w:rsidRPr="008C564D">
              <w:rPr>
                <w:color w:val="auto"/>
              </w:rPr>
              <w:t>DEMANDA Nº</w:t>
            </w:r>
            <w:r w:rsidR="006D616D" w:rsidRPr="008C564D">
              <w:rPr>
                <w:color w:val="auto"/>
              </w:rPr>
              <w:t xml:space="preserve"> </w:t>
            </w:r>
            <w:r w:rsidR="00F43467" w:rsidRPr="008C564D">
              <w:rPr>
                <w:color w:val="auto"/>
              </w:rPr>
              <w:t>25.360</w:t>
            </w:r>
          </w:p>
          <w:p w:rsidR="007758E1" w:rsidRPr="008C564D" w:rsidRDefault="007758E1">
            <w:pPr>
              <w:pStyle w:val="DadosCadastrais"/>
              <w:rPr>
                <w:color w:val="auto"/>
              </w:rPr>
            </w:pPr>
          </w:p>
        </w:tc>
        <w:tc>
          <w:tcPr>
            <w:tcW w:w="4323" w:type="dxa"/>
            <w:shd w:val="clear" w:color="auto" w:fill="auto"/>
          </w:tcPr>
          <w:p w:rsidR="007758E1" w:rsidRPr="008C564D" w:rsidRDefault="007B19CD" w:rsidP="00F43467">
            <w:pPr>
              <w:pStyle w:val="DadosCadastrais"/>
              <w:rPr>
                <w:color w:val="auto"/>
              </w:rPr>
            </w:pPr>
            <w:r w:rsidRPr="008C564D">
              <w:rPr>
                <w:color w:val="auto"/>
              </w:rPr>
              <w:t xml:space="preserve">                                    </w:t>
            </w:r>
            <w:r w:rsidR="004669E2" w:rsidRPr="008C564D">
              <w:rPr>
                <w:color w:val="auto"/>
              </w:rPr>
              <w:t xml:space="preserve"> </w:t>
            </w:r>
            <w:r w:rsidR="00BF69D7" w:rsidRPr="008C564D">
              <w:rPr>
                <w:color w:val="auto"/>
              </w:rPr>
              <w:t xml:space="preserve">                   </w:t>
            </w:r>
            <w:r w:rsidR="00F43467" w:rsidRPr="008C564D">
              <w:rPr>
                <w:color w:val="auto"/>
              </w:rPr>
              <w:t>IGP</w:t>
            </w:r>
          </w:p>
        </w:tc>
      </w:tr>
      <w:tr w:rsidR="008C564D" w:rsidRPr="008C564D" w:rsidTr="00D36AB9">
        <w:tc>
          <w:tcPr>
            <w:tcW w:w="4322" w:type="dxa"/>
            <w:shd w:val="clear" w:color="auto" w:fill="auto"/>
          </w:tcPr>
          <w:p w:rsidR="007758E1" w:rsidRPr="008C564D" w:rsidRDefault="00BF69D7">
            <w:pPr>
              <w:pStyle w:val="DadosCadastrais"/>
              <w:rPr>
                <w:color w:val="auto"/>
              </w:rPr>
            </w:pPr>
            <w:r w:rsidRPr="008C564D">
              <w:rPr>
                <w:color w:val="auto"/>
              </w:rPr>
              <w:t>JOSE LUIZ B.</w:t>
            </w:r>
            <w:r w:rsidR="00F43467" w:rsidRPr="008C564D">
              <w:rPr>
                <w:color w:val="auto"/>
              </w:rPr>
              <w:t xml:space="preserve"> FIGUEIROA</w:t>
            </w:r>
          </w:p>
          <w:p w:rsidR="007758E1" w:rsidRPr="008C564D" w:rsidRDefault="007758E1">
            <w:pPr>
              <w:pStyle w:val="DadosCadastrais"/>
              <w:rPr>
                <w:color w:val="auto"/>
              </w:rPr>
            </w:pPr>
          </w:p>
          <w:p w:rsidR="008D1E72" w:rsidRPr="008C564D" w:rsidRDefault="008D1E72">
            <w:pPr>
              <w:pStyle w:val="DadosCadastrais"/>
              <w:rPr>
                <w:color w:val="auto"/>
              </w:rPr>
            </w:pPr>
          </w:p>
        </w:tc>
        <w:tc>
          <w:tcPr>
            <w:tcW w:w="4323" w:type="dxa"/>
            <w:shd w:val="clear" w:color="auto" w:fill="auto"/>
          </w:tcPr>
          <w:p w:rsidR="007758E1" w:rsidRPr="008C564D" w:rsidRDefault="00BF69D7" w:rsidP="00BF69D7">
            <w:pPr>
              <w:pStyle w:val="DadosCadastrais"/>
              <w:jc w:val="right"/>
              <w:rPr>
                <w:color w:val="auto"/>
              </w:rPr>
            </w:pPr>
            <w:r w:rsidRPr="008C564D">
              <w:rPr>
                <w:color w:val="auto"/>
              </w:rPr>
              <w:t>RECORRENTE</w:t>
            </w:r>
          </w:p>
        </w:tc>
      </w:tr>
    </w:tbl>
    <w:p w:rsidR="007758E1" w:rsidRPr="008C564D" w:rsidRDefault="007B19CD">
      <w:pPr>
        <w:pStyle w:val="TtuloPrincipal"/>
        <w:rPr>
          <w:color w:val="auto"/>
        </w:rPr>
      </w:pPr>
      <w:r w:rsidRPr="008C564D">
        <w:rPr>
          <w:color w:val="auto"/>
        </w:rPr>
        <w:t>DECISÃO</w:t>
      </w:r>
    </w:p>
    <w:p w:rsidR="007758E1" w:rsidRPr="008C564D" w:rsidRDefault="007B19CD">
      <w:pPr>
        <w:pStyle w:val="PargrafoNormal"/>
        <w:spacing w:after="0"/>
        <w:rPr>
          <w:color w:val="auto"/>
        </w:rPr>
      </w:pPr>
      <w:r w:rsidRPr="008C564D">
        <w:rPr>
          <w:color w:val="auto"/>
        </w:rPr>
        <w:t xml:space="preserve">Vista, relatada e discutida a demanda. </w:t>
      </w:r>
    </w:p>
    <w:p w:rsidR="007758E1" w:rsidRPr="008C564D" w:rsidRDefault="007B19CD">
      <w:pPr>
        <w:pStyle w:val="PargrafoNormal"/>
        <w:spacing w:after="0"/>
        <w:rPr>
          <w:color w:val="auto"/>
        </w:rPr>
      </w:pPr>
      <w:r w:rsidRPr="008C564D">
        <w:rPr>
          <w:color w:val="auto"/>
        </w:rPr>
        <w:t xml:space="preserve">Acordam os integrantes da Comissão Mista de Reavaliação de Informações – CMRI/RS, </w:t>
      </w:r>
      <w:r w:rsidR="008D1E72" w:rsidRPr="008C564D">
        <w:rPr>
          <w:color w:val="auto"/>
        </w:rPr>
        <w:t xml:space="preserve">por unanimidade, em </w:t>
      </w:r>
      <w:r w:rsidR="00CA617B" w:rsidRPr="008C564D">
        <w:rPr>
          <w:color w:val="auto"/>
        </w:rPr>
        <w:t>n</w:t>
      </w:r>
      <w:r w:rsidR="00BF69D7" w:rsidRPr="008C564D">
        <w:rPr>
          <w:color w:val="auto"/>
        </w:rPr>
        <w:t>ão conhecer do recurso</w:t>
      </w:r>
      <w:r w:rsidRPr="008C564D">
        <w:rPr>
          <w:color w:val="auto"/>
        </w:rPr>
        <w:t>.</w:t>
      </w:r>
    </w:p>
    <w:p w:rsidR="00BF69D7" w:rsidRPr="008C564D" w:rsidRDefault="00BF69D7" w:rsidP="00BF69D7">
      <w:pPr>
        <w:pStyle w:val="PargrafoNormal"/>
        <w:spacing w:after="0"/>
        <w:rPr>
          <w:color w:val="auto"/>
        </w:rPr>
      </w:pPr>
      <w:r w:rsidRPr="008C564D">
        <w:rPr>
          <w:color w:val="auto"/>
        </w:rPr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Segurança Pública; da Secretaria da Fazenda/Contadoria e Auditoria-Geral do Estado; da Secretaria de Planejamento, Orçamento e Gestão/Arquivo Público do Estado; e da Secretaria da Justiça, Cidadania e Direitos Humanos. </w:t>
      </w:r>
    </w:p>
    <w:p w:rsidR="00D36AB9" w:rsidRPr="008C564D" w:rsidRDefault="00D36AB9" w:rsidP="00BF69D7">
      <w:pPr>
        <w:pStyle w:val="PargrafoNormal"/>
        <w:spacing w:after="0" w:line="240" w:lineRule="auto"/>
        <w:ind w:firstLine="0"/>
        <w:rPr>
          <w:color w:val="auto"/>
        </w:rPr>
      </w:pPr>
    </w:p>
    <w:p w:rsidR="00BF69D7" w:rsidRPr="008C564D" w:rsidRDefault="00BF69D7" w:rsidP="00BF69D7">
      <w:pPr>
        <w:pStyle w:val="PargrafoNormal"/>
        <w:spacing w:after="0" w:line="240" w:lineRule="auto"/>
        <w:ind w:firstLine="0"/>
        <w:rPr>
          <w:color w:val="auto"/>
        </w:rPr>
      </w:pPr>
    </w:p>
    <w:p w:rsidR="007758E1" w:rsidRPr="008C564D" w:rsidRDefault="00DB6F53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  <w:r w:rsidRPr="008C564D">
        <w:rPr>
          <w:color w:val="auto"/>
        </w:rPr>
        <w:t xml:space="preserve">Porto Alegre, </w:t>
      </w:r>
      <w:r w:rsidR="00C3073E" w:rsidRPr="008C564D">
        <w:rPr>
          <w:color w:val="auto"/>
        </w:rPr>
        <w:t>9</w:t>
      </w:r>
      <w:r w:rsidR="007B19CD" w:rsidRPr="008C564D">
        <w:rPr>
          <w:color w:val="auto"/>
        </w:rPr>
        <w:t xml:space="preserve"> de </w:t>
      </w:r>
      <w:r w:rsidRPr="008C564D">
        <w:rPr>
          <w:color w:val="auto"/>
        </w:rPr>
        <w:t>ju</w:t>
      </w:r>
      <w:r w:rsidR="00C3073E" w:rsidRPr="008C564D">
        <w:rPr>
          <w:color w:val="auto"/>
        </w:rPr>
        <w:t>n</w:t>
      </w:r>
      <w:r w:rsidRPr="008C564D">
        <w:rPr>
          <w:color w:val="auto"/>
        </w:rPr>
        <w:t>ho</w:t>
      </w:r>
      <w:r w:rsidR="002E2EE9" w:rsidRPr="008C564D">
        <w:rPr>
          <w:color w:val="auto"/>
        </w:rPr>
        <w:t xml:space="preserve"> de 20</w:t>
      </w:r>
      <w:r w:rsidR="00C3073E" w:rsidRPr="008C564D">
        <w:rPr>
          <w:color w:val="auto"/>
        </w:rPr>
        <w:t>20</w:t>
      </w:r>
      <w:r w:rsidR="007B19CD" w:rsidRPr="008C564D">
        <w:rPr>
          <w:color w:val="auto"/>
        </w:rPr>
        <w:t>.</w:t>
      </w:r>
    </w:p>
    <w:p w:rsidR="002E2EE9" w:rsidRPr="008C564D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BF69D7" w:rsidRPr="008C564D" w:rsidRDefault="00BF69D7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BF69D7" w:rsidRPr="008C564D" w:rsidRDefault="00BF69D7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Pr="008C564D" w:rsidRDefault="002E2EE9" w:rsidP="002E2EE9">
      <w:pPr>
        <w:pStyle w:val="Assinatura"/>
        <w:rPr>
          <w:b w:val="0"/>
          <w:bCs w:val="0"/>
          <w:caps w:val="0"/>
          <w:color w:val="auto"/>
          <w:sz w:val="24"/>
          <w:szCs w:val="24"/>
        </w:rPr>
      </w:pPr>
    </w:p>
    <w:p w:rsidR="007758E1" w:rsidRPr="008C564D" w:rsidRDefault="00DB6F53" w:rsidP="002E2EE9">
      <w:pPr>
        <w:pStyle w:val="Assinatura"/>
        <w:rPr>
          <w:caps w:val="0"/>
          <w:color w:val="auto"/>
        </w:rPr>
      </w:pPr>
      <w:r w:rsidRPr="008C564D">
        <w:rPr>
          <w:caps w:val="0"/>
          <w:color w:val="auto"/>
        </w:rPr>
        <w:t>SECRETARIA DA SAÚDE,</w:t>
      </w:r>
    </w:p>
    <w:p w:rsidR="007758E1" w:rsidRPr="008C564D" w:rsidRDefault="007B19CD" w:rsidP="002E2EE9">
      <w:pPr>
        <w:pStyle w:val="Assinatura"/>
        <w:rPr>
          <w:caps w:val="0"/>
          <w:color w:val="auto"/>
        </w:rPr>
      </w:pPr>
      <w:r w:rsidRPr="008C564D">
        <w:rPr>
          <w:caps w:val="0"/>
          <w:color w:val="auto"/>
        </w:rPr>
        <w:t>Relator.</w:t>
      </w:r>
    </w:p>
    <w:p w:rsidR="00BF69D7" w:rsidRPr="008C564D" w:rsidRDefault="00BF69D7" w:rsidP="002E2EE9">
      <w:pPr>
        <w:pStyle w:val="Assinatura"/>
        <w:rPr>
          <w:caps w:val="0"/>
          <w:color w:val="auto"/>
        </w:rPr>
      </w:pPr>
    </w:p>
    <w:p w:rsidR="00CA617B" w:rsidRPr="008C564D" w:rsidRDefault="00CA617B" w:rsidP="002E2EE9">
      <w:pPr>
        <w:pStyle w:val="Assinatura"/>
        <w:rPr>
          <w:caps w:val="0"/>
          <w:color w:val="auto"/>
        </w:rPr>
      </w:pPr>
    </w:p>
    <w:p w:rsidR="007758E1" w:rsidRPr="008C564D" w:rsidRDefault="007B19CD">
      <w:pPr>
        <w:pStyle w:val="TtuloPrincipal"/>
        <w:spacing w:before="0" w:after="0"/>
        <w:rPr>
          <w:color w:val="auto"/>
        </w:rPr>
      </w:pPr>
      <w:r w:rsidRPr="008C564D">
        <w:rPr>
          <w:color w:val="auto"/>
        </w:rPr>
        <w:t>RELATÓRIO</w:t>
      </w:r>
    </w:p>
    <w:p w:rsidR="002E2EE9" w:rsidRPr="008C564D" w:rsidRDefault="002E2EE9">
      <w:pPr>
        <w:pStyle w:val="TtuloPrincipal"/>
        <w:spacing w:before="0" w:after="0"/>
        <w:rPr>
          <w:color w:val="auto"/>
        </w:rPr>
      </w:pPr>
    </w:p>
    <w:p w:rsidR="007758E1" w:rsidRPr="008C564D" w:rsidRDefault="00F04FCD" w:rsidP="00042441">
      <w:pPr>
        <w:pStyle w:val="NomeJulgadorPadro"/>
        <w:spacing w:after="0"/>
        <w:rPr>
          <w:b w:val="0"/>
          <w:caps w:val="0"/>
          <w:color w:val="auto"/>
        </w:rPr>
      </w:pPr>
      <w:r w:rsidRPr="008C564D">
        <w:rPr>
          <w:color w:val="auto"/>
          <w:u w:val="single"/>
        </w:rPr>
        <w:t>SECRETARIA DA SAÚDE</w:t>
      </w:r>
      <w:r w:rsidR="007B19CD" w:rsidRPr="008C564D">
        <w:rPr>
          <w:color w:val="auto"/>
          <w:u w:val="single"/>
        </w:rPr>
        <w:t xml:space="preserve"> (RElATOR)</w:t>
      </w:r>
      <w:r w:rsidR="007B19CD" w:rsidRPr="008C564D">
        <w:rPr>
          <w:b w:val="0"/>
          <w:caps w:val="0"/>
          <w:color w:val="auto"/>
          <w:u w:val="single"/>
        </w:rPr>
        <w:t xml:space="preserve"> –</w:t>
      </w:r>
      <w:r w:rsidR="007B19CD" w:rsidRPr="008C564D">
        <w:rPr>
          <w:b w:val="0"/>
          <w:caps w:val="0"/>
          <w:color w:val="auto"/>
        </w:rPr>
        <w:t xml:space="preserve"> </w:t>
      </w:r>
    </w:p>
    <w:p w:rsidR="00BF69D7" w:rsidRPr="008C564D" w:rsidRDefault="00BF69D7" w:rsidP="00042441">
      <w:pPr>
        <w:pStyle w:val="NomeJulgadorPadro"/>
        <w:spacing w:after="0"/>
        <w:rPr>
          <w:b w:val="0"/>
          <w:caps w:val="0"/>
          <w:color w:val="auto"/>
        </w:rPr>
      </w:pPr>
    </w:p>
    <w:p w:rsidR="007758E1" w:rsidRPr="008C564D" w:rsidRDefault="00FD1EB8">
      <w:pPr>
        <w:pStyle w:val="PargrafoNormal"/>
        <w:rPr>
          <w:color w:val="auto"/>
        </w:rPr>
      </w:pPr>
      <w:r w:rsidRPr="008C564D">
        <w:rPr>
          <w:color w:val="auto"/>
        </w:rPr>
        <w:t xml:space="preserve">Trata-se de pedido de acesso à informação apresentado em </w:t>
      </w:r>
      <w:r w:rsidR="00267A78" w:rsidRPr="008C564D">
        <w:rPr>
          <w:color w:val="auto"/>
        </w:rPr>
        <w:t>22 de março de 2020</w:t>
      </w:r>
      <w:r w:rsidR="008D1E72" w:rsidRPr="008C564D">
        <w:rPr>
          <w:color w:val="auto"/>
        </w:rPr>
        <w:t>,</w:t>
      </w:r>
      <w:r w:rsidRPr="008C564D">
        <w:rPr>
          <w:color w:val="auto"/>
        </w:rPr>
        <w:t xml:space="preserve"> por </w:t>
      </w:r>
      <w:r w:rsidR="0066721B" w:rsidRPr="008C564D">
        <w:rPr>
          <w:color w:val="auto"/>
        </w:rPr>
        <w:t>Jose Luiz B.</w:t>
      </w:r>
      <w:r w:rsidR="00267A78" w:rsidRPr="008C564D">
        <w:rPr>
          <w:color w:val="auto"/>
        </w:rPr>
        <w:t xml:space="preserve"> Figueiroa</w:t>
      </w:r>
      <w:r w:rsidRPr="008C564D">
        <w:rPr>
          <w:color w:val="auto"/>
        </w:rPr>
        <w:t xml:space="preserve">, </w:t>
      </w:r>
      <w:r w:rsidR="00E16316" w:rsidRPr="008C564D">
        <w:rPr>
          <w:color w:val="auto"/>
        </w:rPr>
        <w:t xml:space="preserve">que </w:t>
      </w:r>
      <w:r w:rsidR="002D1C6D" w:rsidRPr="008C564D">
        <w:rPr>
          <w:color w:val="auto"/>
        </w:rPr>
        <w:t xml:space="preserve">formulou alguns questionamentos sobre o chamamento de aprovados no concurso público realizado pelo Instituto-Geral de Perícias </w:t>
      </w:r>
      <w:r w:rsidR="0066721B" w:rsidRPr="008C564D">
        <w:rPr>
          <w:color w:val="auto"/>
        </w:rPr>
        <w:t>(</w:t>
      </w:r>
      <w:r w:rsidR="002D1C6D" w:rsidRPr="008C564D">
        <w:rPr>
          <w:color w:val="auto"/>
        </w:rPr>
        <w:t>IGP</w:t>
      </w:r>
      <w:r w:rsidR="0066721B" w:rsidRPr="008C564D">
        <w:rPr>
          <w:color w:val="auto"/>
        </w:rPr>
        <w:t>)</w:t>
      </w:r>
      <w:r w:rsidR="002D1C6D" w:rsidRPr="008C564D">
        <w:rPr>
          <w:color w:val="auto"/>
        </w:rPr>
        <w:t xml:space="preserve"> para o preenchimento de 45 vagas de Perito Criminal (Edital nº 01/2017)</w:t>
      </w:r>
      <w:r w:rsidRPr="008C564D">
        <w:rPr>
          <w:color w:val="auto"/>
        </w:rPr>
        <w:t>.</w:t>
      </w:r>
    </w:p>
    <w:p w:rsidR="0066721B" w:rsidRPr="008C564D" w:rsidRDefault="00197560" w:rsidP="0066721B">
      <w:pPr>
        <w:pStyle w:val="PargrafoNormal"/>
        <w:rPr>
          <w:color w:val="auto"/>
        </w:rPr>
      </w:pPr>
      <w:r w:rsidRPr="008C564D">
        <w:rPr>
          <w:color w:val="auto"/>
        </w:rPr>
        <w:t xml:space="preserve">Em </w:t>
      </w:r>
      <w:r w:rsidR="004669E2" w:rsidRPr="008C564D">
        <w:rPr>
          <w:color w:val="auto"/>
        </w:rPr>
        <w:t>síntese, o requerente perguntou</w:t>
      </w:r>
      <w:r w:rsidRPr="008C564D">
        <w:rPr>
          <w:color w:val="auto"/>
        </w:rPr>
        <w:t xml:space="preserve"> sobre os critérios para nomeação do percentual de vagas destinado às Pessoas com Deficiência (PCD) e Pessoas Negras e Pardas (PNP).</w:t>
      </w:r>
      <w:r w:rsidR="004669E2" w:rsidRPr="008C564D">
        <w:rPr>
          <w:color w:val="auto"/>
        </w:rPr>
        <w:t xml:space="preserve"> No entanto, faz-se necessário reproduzir a íntegra do pedido:</w:t>
      </w:r>
    </w:p>
    <w:p w:rsidR="0066721B" w:rsidRPr="008C564D" w:rsidRDefault="0066721B" w:rsidP="0066721B">
      <w:pPr>
        <w:pStyle w:val="PargrafoNormal"/>
        <w:rPr>
          <w:color w:val="auto"/>
        </w:rPr>
      </w:pP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>“Considerando que o número de vagas do Edital 01/2017 (Peritos) item 1.1 , previa 20% de vagas reservadas para PCDs (7 em 35) + 20% para PNP</w:t>
      </w:r>
      <w:r w:rsidR="00DD2F4C" w:rsidRPr="008C564D">
        <w:rPr>
          <w:color w:val="auto"/>
          <w:sz w:val="18"/>
          <w:szCs w:val="18"/>
        </w:rPr>
        <w:t>s</w:t>
      </w:r>
      <w:r w:rsidRPr="008C564D">
        <w:rPr>
          <w:color w:val="auto"/>
          <w:sz w:val="18"/>
          <w:szCs w:val="18"/>
        </w:rPr>
        <w:t xml:space="preserve">;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Considerando que os itens 2.2.15 ,2.2.16 ,2.4.2 e 2.4.4 mantém esta reserva de vagas para cotistas durante toda a validade do concurso;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Considerando que o item 15.4 do edital e o Dec RS 52223/2014 determinam que o preenchimento das vagas iniciar-se-á por: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I – acesso universal;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II – acesso PCD;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III – acesso PNP.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Considerando os itens 15.2,15.3 e 15.5 , excluindo o chamamento de 4 aprovados nas áreas 4 e 7(2018), obter-se-á na distribuição das 45 vagas criadas pelo cronograma o seguinte preenchimento: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8 vagas área 2;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8 vagas área 4,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6 vagas área 7;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4 vagas área 9;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lastRenderedPageBreak/>
        <w:t xml:space="preserve">4 vagas área 10,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11 vagas área 11;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4 vagas área 17;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Pergunto: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Serão nomeados 9 PCDs e 9 PNPs dentre as 45 vagas durante os próximos 2 anos respeitando-se o percentual de 20% para PCDs e 20% para PNPs ?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No Cadastro Reserva há 8 PCDs :4 área 2 , 2 área 4 e 2 área 7 , o preenchimento do cronograma seguirá o critério de alternância e proporcionalidade cfe dec. RS 52223/14 sendo 5 vagas PCDs para as nomeações de 2020 , 2 para 2021 e 1 para 2022?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Ao final do preenchimento das vagas da área 2, ter-se-iam 3 aprovados por acesso universal, 3 aprovados PCDs e 2 aprovados PNPs ? 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>No último chamamento de 10 peritos em março de 2022, se houver desistências poderão ser chamados substitutos após a o término da vigência do concurso que será no mesmo mês?</w:t>
      </w:r>
      <w:r w:rsidR="001829E4" w:rsidRPr="008C564D">
        <w:rPr>
          <w:color w:val="auto"/>
          <w:sz w:val="18"/>
          <w:szCs w:val="18"/>
        </w:rPr>
        <w:t>”</w:t>
      </w:r>
    </w:p>
    <w:p w:rsidR="004669E2" w:rsidRPr="008C564D" w:rsidRDefault="004669E2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</w:p>
    <w:p w:rsidR="0066721B" w:rsidRPr="008C564D" w:rsidRDefault="0066721B" w:rsidP="004669E2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</w:p>
    <w:p w:rsidR="00445FEF" w:rsidRPr="008C564D" w:rsidRDefault="00445FEF">
      <w:pPr>
        <w:pStyle w:val="PargrafoNormal"/>
        <w:rPr>
          <w:color w:val="auto"/>
        </w:rPr>
      </w:pPr>
      <w:r w:rsidRPr="008C564D">
        <w:rPr>
          <w:color w:val="auto"/>
        </w:rPr>
        <w:t xml:space="preserve">Em </w:t>
      </w:r>
      <w:r w:rsidR="00284FD2" w:rsidRPr="008C564D">
        <w:rPr>
          <w:color w:val="auto"/>
        </w:rPr>
        <w:t>23 de abril de 2020</w:t>
      </w:r>
      <w:r w:rsidRPr="008C564D">
        <w:rPr>
          <w:color w:val="auto"/>
        </w:rPr>
        <w:t xml:space="preserve">, </w:t>
      </w:r>
      <w:r w:rsidR="0066721B" w:rsidRPr="008C564D">
        <w:rPr>
          <w:color w:val="auto"/>
        </w:rPr>
        <w:t>o órgão demandado respondeu o que segue</w:t>
      </w:r>
      <w:r w:rsidR="000E7A62" w:rsidRPr="008C564D">
        <w:rPr>
          <w:color w:val="auto"/>
        </w:rPr>
        <w:t>:</w:t>
      </w:r>
    </w:p>
    <w:p w:rsidR="00284FD2" w:rsidRPr="008C564D" w:rsidRDefault="00284FD2" w:rsidP="009F6435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>“Informamos que não possuímos os dados solicitados, com o que deixaremos de os fornecer</w:t>
      </w:r>
      <w:r w:rsidR="00DC37D4" w:rsidRPr="008C564D">
        <w:rPr>
          <w:color w:val="auto"/>
          <w:sz w:val="18"/>
          <w:szCs w:val="18"/>
        </w:rPr>
        <w:t xml:space="preserve">, </w:t>
      </w:r>
      <w:r w:rsidRPr="008C564D">
        <w:rPr>
          <w:color w:val="auto"/>
          <w:sz w:val="18"/>
          <w:szCs w:val="18"/>
        </w:rPr>
        <w:t>com base no art. 9º, § 1º, III, do Decreto nº 49.111/2012.”</w:t>
      </w:r>
    </w:p>
    <w:p w:rsidR="0066721B" w:rsidRPr="008C564D" w:rsidRDefault="0066721B" w:rsidP="009F6435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</w:p>
    <w:p w:rsidR="009F6435" w:rsidRPr="008C564D" w:rsidRDefault="009F6435" w:rsidP="009F6435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</w:p>
    <w:p w:rsidR="00DE06F0" w:rsidRPr="008C564D" w:rsidRDefault="007407B3">
      <w:pPr>
        <w:pStyle w:val="PargrafoNormal"/>
        <w:rPr>
          <w:color w:val="auto"/>
        </w:rPr>
      </w:pPr>
      <w:r w:rsidRPr="008C564D">
        <w:rPr>
          <w:color w:val="auto"/>
        </w:rPr>
        <w:t xml:space="preserve">Na sequência, </w:t>
      </w:r>
      <w:r w:rsidR="00DC37D4" w:rsidRPr="008C564D">
        <w:rPr>
          <w:color w:val="auto"/>
        </w:rPr>
        <w:t>o</w:t>
      </w:r>
      <w:r w:rsidR="00DE06F0" w:rsidRPr="008C564D">
        <w:rPr>
          <w:color w:val="auto"/>
        </w:rPr>
        <w:t xml:space="preserve"> requerente solicitou o reexame</w:t>
      </w:r>
      <w:r w:rsidR="0066721B" w:rsidRPr="008C564D">
        <w:rPr>
          <w:color w:val="auto"/>
        </w:rPr>
        <w:t xml:space="preserve"> (23/04/2020)</w:t>
      </w:r>
      <w:r w:rsidR="00F6296A" w:rsidRPr="008C564D">
        <w:rPr>
          <w:color w:val="auto"/>
        </w:rPr>
        <w:t xml:space="preserve">, mediante </w:t>
      </w:r>
      <w:r w:rsidR="006849BB" w:rsidRPr="008C564D">
        <w:rPr>
          <w:color w:val="auto"/>
        </w:rPr>
        <w:t xml:space="preserve">realização de </w:t>
      </w:r>
      <w:r w:rsidR="00F6296A" w:rsidRPr="008C564D">
        <w:rPr>
          <w:color w:val="auto"/>
        </w:rPr>
        <w:t>perguntas</w:t>
      </w:r>
      <w:r w:rsidR="0066721B" w:rsidRPr="008C564D">
        <w:rPr>
          <w:color w:val="auto"/>
        </w:rPr>
        <w:t xml:space="preserve"> diversas</w:t>
      </w:r>
      <w:r w:rsidR="006849BB" w:rsidRPr="008C564D">
        <w:rPr>
          <w:color w:val="auto"/>
        </w:rPr>
        <w:t xml:space="preserve"> sobre o mesmo tema</w:t>
      </w:r>
      <w:r w:rsidR="00DE06F0" w:rsidRPr="008C564D">
        <w:rPr>
          <w:color w:val="auto"/>
        </w:rPr>
        <w:t>:</w:t>
      </w:r>
    </w:p>
    <w:p w:rsidR="0066721B" w:rsidRPr="008C564D" w:rsidRDefault="0066721B">
      <w:pPr>
        <w:pStyle w:val="PargrafoNormal"/>
        <w:rPr>
          <w:color w:val="auto"/>
        </w:rPr>
      </w:pPr>
    </w:p>
    <w:p w:rsidR="003D7588" w:rsidRPr="008C564D" w:rsidRDefault="003D7588" w:rsidP="00DC37D4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>Conforme orienta</w:t>
      </w:r>
      <w:r w:rsidR="00DC37D4" w:rsidRPr="008C564D">
        <w:rPr>
          <w:color w:val="auto"/>
          <w:sz w:val="18"/>
          <w:szCs w:val="18"/>
        </w:rPr>
        <w:t>,</w:t>
      </w:r>
      <w:r w:rsidR="00197560" w:rsidRPr="008C564D">
        <w:rPr>
          <w:color w:val="auto"/>
          <w:sz w:val="18"/>
          <w:szCs w:val="18"/>
        </w:rPr>
        <w:t xml:space="preserve"> </w:t>
      </w:r>
      <w:r w:rsidR="00DC37D4" w:rsidRPr="008C564D">
        <w:rPr>
          <w:color w:val="auto"/>
          <w:sz w:val="18"/>
          <w:szCs w:val="18"/>
        </w:rPr>
        <w:t>em processo semelhante, o parecer 17893/19 da Procurador</w:t>
      </w:r>
      <w:r w:rsidRPr="008C564D">
        <w:rPr>
          <w:color w:val="auto"/>
          <w:sz w:val="18"/>
          <w:szCs w:val="18"/>
        </w:rPr>
        <w:t>i</w:t>
      </w:r>
      <w:r w:rsidR="00DC37D4" w:rsidRPr="008C564D">
        <w:rPr>
          <w:color w:val="auto"/>
          <w:sz w:val="18"/>
          <w:szCs w:val="18"/>
        </w:rPr>
        <w:t>a de Pessoal – PGE RS, a fim de que não se excedam ou reduzam indevidamente os percentuais de vagas reservadas, na elaboração da nova lista de nomeados</w:t>
      </w:r>
      <w:r w:rsidR="00F6296A" w:rsidRPr="008C564D">
        <w:rPr>
          <w:color w:val="auto"/>
          <w:sz w:val="18"/>
          <w:szCs w:val="18"/>
        </w:rPr>
        <w:t xml:space="preserve"> </w:t>
      </w:r>
      <w:r w:rsidR="00DC37D4" w:rsidRPr="008C564D">
        <w:rPr>
          <w:color w:val="auto"/>
          <w:sz w:val="18"/>
          <w:szCs w:val="18"/>
        </w:rPr>
        <w:t xml:space="preserve">(CR) para o cargo de perito criminal IGP serão mantidos os percentuais de 20% para PCD e 20% para PNP valores implícitos no Edital 01/2017, item 1.1, obtidos ao se dividirem as 14 vagas (7PCD+7PNP) sobre o total de 35 vagas iniciais, percentuais esses que o edital diz que devem ser seguidos durante toda a validade do concurso? </w:t>
      </w:r>
    </w:p>
    <w:p w:rsidR="003D7588" w:rsidRPr="008C564D" w:rsidRDefault="00DC37D4" w:rsidP="00DC37D4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No preenchimento das vagas pelo item 15.4 edital 01/2017, será respeitado o que diz o decreto RS 52223/2014 Art. 7o. onde se alternam na seguinte ordem as 3 listas de aprovados: 1o. aprovado acesso universal, 2o. aprovado PCD e 3o. aprovado PNP, rigorosamente nesta ordem? </w:t>
      </w:r>
    </w:p>
    <w:p w:rsidR="003D7588" w:rsidRPr="008C564D" w:rsidRDefault="00DC37D4" w:rsidP="00DC37D4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Estas questões são de fundamental importância para a elaboração da nova lista de nomeados que estava prevista para </w:t>
      </w:r>
      <w:r w:rsidR="003D7588" w:rsidRPr="008C564D">
        <w:rPr>
          <w:color w:val="auto"/>
          <w:sz w:val="18"/>
          <w:szCs w:val="18"/>
        </w:rPr>
        <w:t>publicação neste mês de abril e</w:t>
      </w:r>
      <w:r w:rsidRPr="008C564D">
        <w:rPr>
          <w:color w:val="auto"/>
          <w:sz w:val="18"/>
          <w:szCs w:val="18"/>
        </w:rPr>
        <w:t xml:space="preserve">, portanto, são dados que o administrador deverá ter conhecimento e que complementam o edital 01/2017 quanto ao parecer 17893/19 da Procuradora de Pessoal – PGE RS. </w:t>
      </w:r>
    </w:p>
    <w:p w:rsidR="003401FF" w:rsidRPr="008C564D" w:rsidRDefault="00DC37D4" w:rsidP="00DC37D4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>Desta forma, solicito o reexame desta demanda.</w:t>
      </w:r>
    </w:p>
    <w:p w:rsidR="0066721B" w:rsidRPr="008C564D" w:rsidRDefault="0066721B" w:rsidP="00DC37D4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</w:p>
    <w:p w:rsidR="00DC37D4" w:rsidRPr="008C564D" w:rsidRDefault="00DC37D4" w:rsidP="00DC37D4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</w:p>
    <w:p w:rsidR="0066721B" w:rsidRPr="008C564D" w:rsidRDefault="00D06300" w:rsidP="0066721B">
      <w:pPr>
        <w:pStyle w:val="PargrafoNormal"/>
        <w:rPr>
          <w:color w:val="auto"/>
        </w:rPr>
      </w:pPr>
      <w:r w:rsidRPr="008C564D">
        <w:rPr>
          <w:color w:val="auto"/>
        </w:rPr>
        <w:t>Em resposta ao pedido de reexame</w:t>
      </w:r>
      <w:r w:rsidR="0066721B" w:rsidRPr="008C564D">
        <w:rPr>
          <w:color w:val="auto"/>
        </w:rPr>
        <w:t xml:space="preserve"> (05/05/2020)</w:t>
      </w:r>
      <w:r w:rsidRPr="008C564D">
        <w:rPr>
          <w:color w:val="auto"/>
        </w:rPr>
        <w:t xml:space="preserve">, </w:t>
      </w:r>
      <w:r w:rsidR="005B0107" w:rsidRPr="008C564D">
        <w:rPr>
          <w:color w:val="auto"/>
        </w:rPr>
        <w:t>o IGP</w:t>
      </w:r>
      <w:r w:rsidR="0066721B" w:rsidRPr="008C564D">
        <w:rPr>
          <w:color w:val="auto"/>
        </w:rPr>
        <w:t>, por intermédio da autoridade máxima,</w:t>
      </w:r>
      <w:r w:rsidR="0063572D" w:rsidRPr="008C564D">
        <w:rPr>
          <w:color w:val="auto"/>
        </w:rPr>
        <w:t xml:space="preserve"> </w:t>
      </w:r>
      <w:r w:rsidRPr="008C564D">
        <w:rPr>
          <w:color w:val="auto"/>
        </w:rPr>
        <w:t>informou o seguinte:</w:t>
      </w:r>
    </w:p>
    <w:p w:rsidR="0066721B" w:rsidRPr="008C564D" w:rsidRDefault="0066721B" w:rsidP="0066721B">
      <w:pPr>
        <w:pStyle w:val="PargrafoNormal"/>
        <w:rPr>
          <w:color w:val="auto"/>
        </w:rPr>
      </w:pPr>
    </w:p>
    <w:p w:rsidR="0066721B" w:rsidRPr="008C564D" w:rsidRDefault="0066721B" w:rsidP="0066721B">
      <w:pPr>
        <w:pStyle w:val="PargrafoNormal"/>
        <w:rPr>
          <w:color w:val="auto"/>
        </w:rPr>
      </w:pPr>
    </w:p>
    <w:p w:rsidR="00E17EC6" w:rsidRPr="008C564D" w:rsidRDefault="005B0107" w:rsidP="00E17EC6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>De ordem da autoridade máxima (art. 20 do Decreto Estadual nº 49.111/2012, com alterações introduzidas pelo Decreto Estadual nº 52.505/2015), relativo ao seu pedido de reexame ao Governo do Estado do Rio Grande do Sul, informamos que a proporção de cotas respeitada pelos Concursos 01 e 02 de 2017 segue parecer da PGE (cópia em anexo), que consta no PROA 16/1205-0001555-2, parecer que indicava as proporções para cotas de 10% para PCD e 16% para PNP em relação ao número de vagas por área e/ou especialidade. Além disso, a proporção das quotas deve levar em conta os candidatos já nomeados, visto tratar-se dos mesmos concursos, a origem dos servidores a serem nomeados.</w:t>
      </w:r>
    </w:p>
    <w:p w:rsidR="0066721B" w:rsidRPr="008C564D" w:rsidRDefault="0066721B" w:rsidP="0066721B">
      <w:pPr>
        <w:pStyle w:val="PargrafoNormal"/>
        <w:ind w:firstLine="0"/>
        <w:rPr>
          <w:color w:val="auto"/>
        </w:rPr>
      </w:pPr>
    </w:p>
    <w:p w:rsidR="0066721B" w:rsidRPr="008C564D" w:rsidRDefault="0066721B" w:rsidP="0066721B">
      <w:pPr>
        <w:pStyle w:val="PargrafoNormal"/>
        <w:rPr>
          <w:color w:val="auto"/>
        </w:rPr>
      </w:pPr>
      <w:r w:rsidRPr="008C564D">
        <w:rPr>
          <w:color w:val="auto"/>
        </w:rPr>
        <w:t>Aqui, cumpre registrar que foi observado o descumprimento do prazo de 10 dias para resposta ao reexame por parte do recorrido.</w:t>
      </w:r>
    </w:p>
    <w:p w:rsidR="0066721B" w:rsidRPr="008C564D" w:rsidRDefault="0066721B" w:rsidP="0066721B">
      <w:pPr>
        <w:pStyle w:val="PargrafoNormal"/>
        <w:rPr>
          <w:color w:val="auto"/>
        </w:rPr>
      </w:pPr>
    </w:p>
    <w:p w:rsidR="0066721B" w:rsidRPr="008C564D" w:rsidRDefault="004B74ED" w:rsidP="0066721B">
      <w:pPr>
        <w:pStyle w:val="PargrafoNormal"/>
        <w:rPr>
          <w:color w:val="auto"/>
        </w:rPr>
      </w:pPr>
      <w:r w:rsidRPr="008C564D">
        <w:rPr>
          <w:color w:val="auto"/>
        </w:rPr>
        <w:t xml:space="preserve">Em </w:t>
      </w:r>
      <w:r w:rsidR="0002480B" w:rsidRPr="008C564D">
        <w:rPr>
          <w:color w:val="auto"/>
        </w:rPr>
        <w:t>6</w:t>
      </w:r>
      <w:r w:rsidRPr="008C564D">
        <w:rPr>
          <w:color w:val="auto"/>
        </w:rPr>
        <w:t xml:space="preserve"> de maio de 20</w:t>
      </w:r>
      <w:r w:rsidR="0002480B" w:rsidRPr="008C564D">
        <w:rPr>
          <w:color w:val="auto"/>
        </w:rPr>
        <w:t>20</w:t>
      </w:r>
      <w:r w:rsidRPr="008C564D">
        <w:rPr>
          <w:color w:val="auto"/>
        </w:rPr>
        <w:t xml:space="preserve">, </w:t>
      </w:r>
      <w:r w:rsidR="0002480B" w:rsidRPr="008C564D">
        <w:rPr>
          <w:color w:val="auto"/>
        </w:rPr>
        <w:t>o</w:t>
      </w:r>
      <w:r w:rsidRPr="008C564D">
        <w:rPr>
          <w:color w:val="auto"/>
        </w:rPr>
        <w:t xml:space="preserve"> requerente interpôs recurso</w:t>
      </w:r>
      <w:r w:rsidR="0066721B" w:rsidRPr="008C564D">
        <w:rPr>
          <w:color w:val="auto"/>
        </w:rPr>
        <w:t xml:space="preserve"> nos termos das razões abaixo</w:t>
      </w:r>
      <w:r w:rsidRPr="008C564D">
        <w:rPr>
          <w:color w:val="auto"/>
        </w:rPr>
        <w:t>:</w:t>
      </w:r>
    </w:p>
    <w:p w:rsidR="007547E6" w:rsidRPr="008C564D" w:rsidRDefault="0002480B" w:rsidP="004B74ED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>Este recurso é baseado no parecer nº 16.803/16 da PGE elabo</w:t>
      </w:r>
      <w:r w:rsidR="007547E6" w:rsidRPr="008C564D">
        <w:rPr>
          <w:color w:val="auto"/>
          <w:sz w:val="18"/>
          <w:szCs w:val="18"/>
        </w:rPr>
        <w:t>rado sobre uma minuta do edital</w:t>
      </w:r>
      <w:r w:rsidRPr="008C564D">
        <w:rPr>
          <w:color w:val="auto"/>
          <w:sz w:val="18"/>
          <w:szCs w:val="18"/>
        </w:rPr>
        <w:t>.</w:t>
      </w:r>
      <w:r w:rsidR="007547E6" w:rsidRPr="008C564D">
        <w:rPr>
          <w:color w:val="auto"/>
          <w:sz w:val="18"/>
          <w:szCs w:val="18"/>
        </w:rPr>
        <w:t xml:space="preserve"> </w:t>
      </w:r>
      <w:r w:rsidRPr="008C564D">
        <w:rPr>
          <w:color w:val="auto"/>
          <w:sz w:val="18"/>
          <w:szCs w:val="18"/>
        </w:rPr>
        <w:t>No edital 01/17 publicado,</w:t>
      </w:r>
      <w:r w:rsidR="007547E6" w:rsidRPr="008C564D">
        <w:rPr>
          <w:color w:val="auto"/>
          <w:sz w:val="18"/>
          <w:szCs w:val="18"/>
        </w:rPr>
        <w:t xml:space="preserve"> </w:t>
      </w:r>
      <w:r w:rsidRPr="008C564D">
        <w:rPr>
          <w:color w:val="auto"/>
          <w:sz w:val="18"/>
          <w:szCs w:val="18"/>
        </w:rPr>
        <w:t>os percentuais de vagas de cotistas são de 20%</w:t>
      </w:r>
      <w:r w:rsidR="007547E6" w:rsidRPr="008C564D">
        <w:rPr>
          <w:color w:val="auto"/>
          <w:sz w:val="18"/>
          <w:szCs w:val="18"/>
        </w:rPr>
        <w:t xml:space="preserve"> </w:t>
      </w:r>
      <w:r w:rsidRPr="008C564D">
        <w:rPr>
          <w:color w:val="auto"/>
          <w:sz w:val="18"/>
          <w:szCs w:val="18"/>
        </w:rPr>
        <w:t>PCD e 20% PNP (implícitos no item 1.1).</w:t>
      </w:r>
      <w:r w:rsidR="007547E6" w:rsidRPr="008C564D">
        <w:rPr>
          <w:color w:val="auto"/>
          <w:sz w:val="18"/>
          <w:szCs w:val="18"/>
        </w:rPr>
        <w:t xml:space="preserve"> </w:t>
      </w:r>
      <w:r w:rsidRPr="008C564D">
        <w:rPr>
          <w:color w:val="auto"/>
          <w:sz w:val="18"/>
          <w:szCs w:val="18"/>
        </w:rPr>
        <w:t xml:space="preserve">O Parecer esclarece que: </w:t>
      </w:r>
    </w:p>
    <w:p w:rsidR="007547E6" w:rsidRPr="008C564D" w:rsidRDefault="0002480B" w:rsidP="004B74ED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“A complexidade se aplica em relação ao cargo de Perito Criminal, em que a minuta de edital está considerando o número de cargos por especialidade, enquanto que o cargo é um só, embora os ocupantes possam ser de diferentes áreas profissionais. Assim, o percentual de vagas destinadas às cotas deverá incidir sobre o número total de vagas para o cargo de Perito Criminal, independentemente da área.” </w:t>
      </w:r>
    </w:p>
    <w:p w:rsidR="007547E6" w:rsidRPr="008C564D" w:rsidRDefault="0002480B" w:rsidP="004B74ED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 xml:space="preserve">“devendo existir, porém, uma única lista de nomeação, em razão de se respeitar o percentual de vagas para cotistas sobre o total de vagas previstas para cada cargo” </w:t>
      </w:r>
    </w:p>
    <w:p w:rsidR="004B74ED" w:rsidRPr="008C564D" w:rsidRDefault="0002480B" w:rsidP="004B74ED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  <w:r w:rsidRPr="008C564D">
        <w:rPr>
          <w:color w:val="auto"/>
          <w:sz w:val="18"/>
          <w:szCs w:val="18"/>
        </w:rPr>
        <w:t>“Por exemplo, sendo 35 vagas para o cargo de Perito(a) Medico(a)-Legista, conforme quadro à fl. 29, tem-se que 25 serão destinadas para a lista de acesso universal, sendo 04 para pessoas com deficiência e seis vagas para negros. Em sendo nomeados, tem-se que os cotistas deverão ser chamados proporcionalmente, nos termos do art. 7º do Decreto 52.223/14, ou seja, o primeiro será do acesso universal, o segundo PCD e o terceiro negro; o quarto e o quinto sistema universal o sexto será PCD, o sétimo negro, e assim sucessivamente, sempre respeitando o chamam</w:t>
      </w:r>
      <w:r w:rsidR="007547E6" w:rsidRPr="008C564D">
        <w:rPr>
          <w:color w:val="auto"/>
          <w:sz w:val="18"/>
          <w:szCs w:val="18"/>
        </w:rPr>
        <w:t>ento proporcional dos cotistas.</w:t>
      </w:r>
      <w:r w:rsidRPr="008C564D">
        <w:rPr>
          <w:color w:val="auto"/>
          <w:sz w:val="18"/>
          <w:szCs w:val="18"/>
        </w:rPr>
        <w:t>”</w:t>
      </w:r>
      <w:r w:rsidR="007547E6" w:rsidRPr="008C564D">
        <w:rPr>
          <w:color w:val="auto"/>
          <w:sz w:val="18"/>
          <w:szCs w:val="18"/>
        </w:rPr>
        <w:t xml:space="preserve"> </w:t>
      </w:r>
      <w:r w:rsidRPr="008C564D">
        <w:rPr>
          <w:color w:val="auto"/>
          <w:sz w:val="18"/>
          <w:szCs w:val="18"/>
        </w:rPr>
        <w:t>A lista de 45 nomeações para Perito deverá ter 9 PCD e 9 PNP preenchidos conforme orienta este parecer 16.803/16.</w:t>
      </w:r>
    </w:p>
    <w:p w:rsidR="004B74ED" w:rsidRPr="008C564D" w:rsidRDefault="004B74ED" w:rsidP="004B74ED">
      <w:pPr>
        <w:pStyle w:val="PargrafoNormal"/>
        <w:spacing w:after="0" w:line="240" w:lineRule="auto"/>
        <w:ind w:left="1418" w:firstLine="0"/>
        <w:rPr>
          <w:color w:val="auto"/>
          <w:sz w:val="18"/>
          <w:szCs w:val="18"/>
        </w:rPr>
      </w:pPr>
    </w:p>
    <w:p w:rsidR="007758E1" w:rsidRPr="008C564D" w:rsidRDefault="00FD1EB8">
      <w:pPr>
        <w:pStyle w:val="PargrafoNormal"/>
        <w:spacing w:after="0"/>
        <w:rPr>
          <w:color w:val="auto"/>
        </w:rPr>
      </w:pPr>
      <w:r w:rsidRPr="008C564D">
        <w:rPr>
          <w:color w:val="auto"/>
        </w:rPr>
        <w:t xml:space="preserve">Veio </w:t>
      </w:r>
      <w:r w:rsidR="00ED4817" w:rsidRPr="008C564D">
        <w:rPr>
          <w:color w:val="auto"/>
        </w:rPr>
        <w:t xml:space="preserve">o recurso </w:t>
      </w:r>
      <w:r w:rsidRPr="008C564D">
        <w:rPr>
          <w:color w:val="auto"/>
        </w:rPr>
        <w:t>a esta CMRI/RS.</w:t>
      </w:r>
    </w:p>
    <w:p w:rsidR="007758E1" w:rsidRPr="008C564D" w:rsidRDefault="00FD1EB8">
      <w:pPr>
        <w:pStyle w:val="PargrafoNormal"/>
        <w:spacing w:after="0"/>
        <w:rPr>
          <w:color w:val="auto"/>
        </w:rPr>
      </w:pPr>
      <w:r w:rsidRPr="008C564D">
        <w:rPr>
          <w:color w:val="auto"/>
        </w:rPr>
        <w:t>Após, foi a mim distribuído para julgamento.</w:t>
      </w:r>
    </w:p>
    <w:p w:rsidR="007758E1" w:rsidRPr="008C564D" w:rsidRDefault="00FD1EB8">
      <w:pPr>
        <w:pStyle w:val="PargrafoNormal"/>
        <w:spacing w:after="0"/>
        <w:rPr>
          <w:color w:val="auto"/>
        </w:rPr>
      </w:pPr>
      <w:r w:rsidRPr="008C564D">
        <w:rPr>
          <w:color w:val="auto"/>
        </w:rPr>
        <w:t>É o relatório.</w:t>
      </w:r>
    </w:p>
    <w:p w:rsidR="00A026A4" w:rsidRPr="008C564D" w:rsidRDefault="00A026A4">
      <w:pPr>
        <w:pStyle w:val="PargrafoNormal"/>
        <w:spacing w:after="0"/>
        <w:rPr>
          <w:color w:val="auto"/>
        </w:rPr>
      </w:pPr>
    </w:p>
    <w:p w:rsidR="007571BD" w:rsidRPr="008C564D" w:rsidRDefault="007571BD">
      <w:pPr>
        <w:pStyle w:val="PargrafoNormal"/>
        <w:spacing w:after="0"/>
        <w:rPr>
          <w:color w:val="auto"/>
        </w:rPr>
      </w:pPr>
    </w:p>
    <w:p w:rsidR="007758E1" w:rsidRPr="008C564D" w:rsidRDefault="00FD1EB8">
      <w:pPr>
        <w:pStyle w:val="TtuloPrincipal"/>
        <w:spacing w:before="0" w:after="0"/>
        <w:rPr>
          <w:color w:val="auto"/>
        </w:rPr>
      </w:pPr>
      <w:r w:rsidRPr="008C564D">
        <w:rPr>
          <w:color w:val="auto"/>
        </w:rPr>
        <w:t>VOTOS</w:t>
      </w:r>
    </w:p>
    <w:p w:rsidR="00A026A4" w:rsidRPr="008C564D" w:rsidRDefault="00A026A4">
      <w:pPr>
        <w:pStyle w:val="TtuloPrincipal"/>
        <w:spacing w:before="0" w:after="0"/>
        <w:rPr>
          <w:color w:val="auto"/>
        </w:rPr>
      </w:pPr>
    </w:p>
    <w:p w:rsidR="007758E1" w:rsidRPr="008C564D" w:rsidRDefault="00FD1EB8">
      <w:pPr>
        <w:pStyle w:val="NomeJulgadorPadro"/>
        <w:spacing w:after="0"/>
        <w:rPr>
          <w:b w:val="0"/>
          <w:caps w:val="0"/>
          <w:color w:val="auto"/>
        </w:rPr>
      </w:pPr>
      <w:r w:rsidRPr="008C564D">
        <w:rPr>
          <w:color w:val="auto"/>
          <w:u w:val="single"/>
        </w:rPr>
        <w:t xml:space="preserve">SECRETARIA DA </w:t>
      </w:r>
      <w:r w:rsidR="00F21661" w:rsidRPr="008C564D">
        <w:rPr>
          <w:color w:val="auto"/>
          <w:u w:val="single"/>
        </w:rPr>
        <w:t>SAÚDE</w:t>
      </w:r>
      <w:r w:rsidRPr="008C564D">
        <w:rPr>
          <w:color w:val="auto"/>
          <w:u w:val="single"/>
        </w:rPr>
        <w:t xml:space="preserve"> (RElATOR)</w:t>
      </w:r>
      <w:r w:rsidRPr="008C564D">
        <w:rPr>
          <w:b w:val="0"/>
          <w:caps w:val="0"/>
          <w:color w:val="auto"/>
          <w:u w:val="single"/>
        </w:rPr>
        <w:t xml:space="preserve"> –</w:t>
      </w:r>
      <w:r w:rsidRPr="008C564D">
        <w:rPr>
          <w:b w:val="0"/>
          <w:caps w:val="0"/>
          <w:color w:val="auto"/>
        </w:rPr>
        <w:t xml:space="preserve"> </w:t>
      </w:r>
    </w:p>
    <w:p w:rsidR="00A026A4" w:rsidRPr="008C564D" w:rsidRDefault="00A026A4">
      <w:pPr>
        <w:pStyle w:val="NomeJulgadorPadro"/>
        <w:spacing w:after="0"/>
        <w:rPr>
          <w:color w:val="auto"/>
        </w:rPr>
      </w:pPr>
    </w:p>
    <w:p w:rsidR="007758E1" w:rsidRPr="008C564D" w:rsidRDefault="00FD1EB8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8C564D">
        <w:rPr>
          <w:color w:val="auto"/>
          <w:lang w:eastAsia="ar-SA"/>
        </w:rPr>
        <w:t>Eminentes Colegas.</w:t>
      </w:r>
    </w:p>
    <w:p w:rsidR="0085206F" w:rsidRPr="008C564D" w:rsidRDefault="009C36EA" w:rsidP="009C36EA">
      <w:pPr>
        <w:pStyle w:val="western"/>
        <w:spacing w:after="0" w:line="360" w:lineRule="auto"/>
        <w:ind w:firstLine="1418"/>
        <w:rPr>
          <w:color w:val="auto"/>
        </w:rPr>
      </w:pPr>
      <w:r w:rsidRPr="008C564D">
        <w:rPr>
          <w:color w:val="auto"/>
        </w:rPr>
        <w:t xml:space="preserve">Diante dos fatos anteriormente narrados, observa-se que o requerente </w:t>
      </w:r>
      <w:r w:rsidR="0085206F" w:rsidRPr="008C564D">
        <w:rPr>
          <w:color w:val="auto"/>
        </w:rPr>
        <w:t>modificou o pedido de informações em sede de reexame e</w:t>
      </w:r>
      <w:r w:rsidR="0072239F" w:rsidRPr="008C564D">
        <w:rPr>
          <w:color w:val="auto"/>
        </w:rPr>
        <w:t>,</w:t>
      </w:r>
      <w:r w:rsidR="0085206F" w:rsidRPr="008C564D">
        <w:rPr>
          <w:color w:val="auto"/>
        </w:rPr>
        <w:t xml:space="preserve"> posteriormente, em recurso. </w:t>
      </w:r>
    </w:p>
    <w:p w:rsidR="009C36EA" w:rsidRPr="008C564D" w:rsidRDefault="0085206F" w:rsidP="009C36EA">
      <w:pPr>
        <w:pStyle w:val="western"/>
        <w:spacing w:after="0" w:line="360" w:lineRule="auto"/>
        <w:ind w:firstLine="1418"/>
        <w:rPr>
          <w:color w:val="auto"/>
        </w:rPr>
      </w:pPr>
      <w:r w:rsidRPr="008C564D">
        <w:rPr>
          <w:color w:val="auto"/>
        </w:rPr>
        <w:t xml:space="preserve">Ainda que não tenha sido </w:t>
      </w:r>
      <w:r w:rsidR="0072239F" w:rsidRPr="008C564D">
        <w:rPr>
          <w:color w:val="auto"/>
        </w:rPr>
        <w:t>respondida adequadamente a</w:t>
      </w:r>
      <w:r w:rsidRPr="008C564D">
        <w:rPr>
          <w:color w:val="auto"/>
        </w:rPr>
        <w:t xml:space="preserve"> primeira solicitação, tanto no reexame, quanto no recurso, o requerente </w:t>
      </w:r>
      <w:r w:rsidR="009C36EA" w:rsidRPr="008C564D">
        <w:rPr>
          <w:color w:val="auto"/>
        </w:rPr>
        <w:t>obteve resposta.</w:t>
      </w:r>
    </w:p>
    <w:p w:rsidR="009C36EA" w:rsidRPr="008C564D" w:rsidRDefault="009C36EA" w:rsidP="009C36EA">
      <w:pPr>
        <w:pStyle w:val="western"/>
        <w:spacing w:after="0" w:line="360" w:lineRule="auto"/>
        <w:ind w:firstLine="1418"/>
        <w:rPr>
          <w:color w:val="auto"/>
        </w:rPr>
      </w:pPr>
      <w:r w:rsidRPr="008C564D">
        <w:rPr>
          <w:color w:val="auto"/>
        </w:rPr>
        <w:t>Logo, o I</w:t>
      </w:r>
      <w:r w:rsidR="002606A1" w:rsidRPr="008C564D">
        <w:rPr>
          <w:color w:val="auto"/>
        </w:rPr>
        <w:t xml:space="preserve">GP </w:t>
      </w:r>
      <w:r w:rsidRPr="008C564D">
        <w:rPr>
          <w:color w:val="auto"/>
        </w:rPr>
        <w:t xml:space="preserve">prestou as informações que estavam ao seu alcance, indicando o </w:t>
      </w:r>
      <w:r w:rsidR="00AC2BFB" w:rsidRPr="008C564D">
        <w:rPr>
          <w:color w:val="auto"/>
        </w:rPr>
        <w:t>p</w:t>
      </w:r>
      <w:r w:rsidR="00131870" w:rsidRPr="008C564D">
        <w:rPr>
          <w:color w:val="auto"/>
        </w:rPr>
        <w:t xml:space="preserve">arecer da Procuradoria-Geral do Estado que </w:t>
      </w:r>
      <w:r w:rsidR="00AC2BFB" w:rsidRPr="008C564D">
        <w:rPr>
          <w:color w:val="auto"/>
        </w:rPr>
        <w:t xml:space="preserve">deverá </w:t>
      </w:r>
      <w:r w:rsidR="00131870" w:rsidRPr="008C564D">
        <w:rPr>
          <w:color w:val="auto"/>
        </w:rPr>
        <w:t>norte</w:t>
      </w:r>
      <w:r w:rsidR="00AC2BFB" w:rsidRPr="008C564D">
        <w:rPr>
          <w:color w:val="auto"/>
        </w:rPr>
        <w:t>ar</w:t>
      </w:r>
      <w:r w:rsidR="00131870" w:rsidRPr="008C564D">
        <w:rPr>
          <w:color w:val="auto"/>
        </w:rPr>
        <w:t xml:space="preserve"> as </w:t>
      </w:r>
      <w:r w:rsidR="0061675E" w:rsidRPr="008C564D">
        <w:rPr>
          <w:color w:val="auto"/>
        </w:rPr>
        <w:t xml:space="preserve">suas </w:t>
      </w:r>
      <w:r w:rsidR="00131870" w:rsidRPr="008C564D">
        <w:rPr>
          <w:color w:val="auto"/>
        </w:rPr>
        <w:t>nomeações</w:t>
      </w:r>
      <w:r w:rsidR="0061675E" w:rsidRPr="008C564D">
        <w:rPr>
          <w:color w:val="auto"/>
        </w:rPr>
        <w:t xml:space="preserve">, </w:t>
      </w:r>
      <w:r w:rsidRPr="008C564D">
        <w:rPr>
          <w:color w:val="auto"/>
        </w:rPr>
        <w:t xml:space="preserve">para a obtenção </w:t>
      </w:r>
      <w:r w:rsidR="00131870" w:rsidRPr="008C564D">
        <w:rPr>
          <w:color w:val="auto"/>
        </w:rPr>
        <w:t xml:space="preserve">de </w:t>
      </w:r>
      <w:r w:rsidRPr="008C564D">
        <w:rPr>
          <w:color w:val="auto"/>
        </w:rPr>
        <w:t>dados mais específicos.</w:t>
      </w:r>
      <w:r w:rsidR="00AC2BFB" w:rsidRPr="008C564D">
        <w:rPr>
          <w:color w:val="auto"/>
        </w:rPr>
        <w:t xml:space="preserve"> </w:t>
      </w:r>
    </w:p>
    <w:p w:rsidR="00363F2B" w:rsidRPr="008C564D" w:rsidRDefault="00363F2B" w:rsidP="009C36EA">
      <w:pPr>
        <w:pStyle w:val="western"/>
        <w:spacing w:after="0" w:line="360" w:lineRule="auto"/>
        <w:ind w:firstLine="1418"/>
        <w:rPr>
          <w:color w:val="auto"/>
        </w:rPr>
      </w:pPr>
      <w:r w:rsidRPr="008C564D">
        <w:rPr>
          <w:color w:val="auto"/>
        </w:rPr>
        <w:t xml:space="preserve">A resposta do IGP ao pedido de reexame foi baseada no Parecer nº 16.803/2016 da Procuradoria-Geral do Estado, que consta no PROA nº 16/1205-0001555-2. </w:t>
      </w:r>
      <w:r w:rsidR="00AC2BFB" w:rsidRPr="008C564D">
        <w:rPr>
          <w:color w:val="auto"/>
        </w:rPr>
        <w:t>Conforme registrado, o parecer indica as proporções para cotas de 10% para PCD e 16% para PNP, em relação ao número de vagas por área e/ou especialidade.</w:t>
      </w:r>
    </w:p>
    <w:p w:rsidR="00363F2B" w:rsidRPr="008C564D" w:rsidRDefault="00363F2B" w:rsidP="009C36EA">
      <w:pPr>
        <w:pStyle w:val="western"/>
        <w:spacing w:after="0" w:line="360" w:lineRule="auto"/>
        <w:ind w:firstLine="1418"/>
        <w:rPr>
          <w:color w:val="auto"/>
        </w:rPr>
      </w:pPr>
      <w:r w:rsidRPr="008C564D">
        <w:rPr>
          <w:color w:val="auto"/>
        </w:rPr>
        <w:t xml:space="preserve"> Contudo, no recurso, o requerente </w:t>
      </w:r>
      <w:r w:rsidR="00EA2C18" w:rsidRPr="008C564D">
        <w:rPr>
          <w:color w:val="auto"/>
        </w:rPr>
        <w:t xml:space="preserve">expõe </w:t>
      </w:r>
      <w:r w:rsidR="00892638" w:rsidRPr="008C564D">
        <w:rPr>
          <w:color w:val="auto"/>
        </w:rPr>
        <w:t>o seu entendimento</w:t>
      </w:r>
      <w:r w:rsidRPr="008C564D">
        <w:rPr>
          <w:color w:val="auto"/>
        </w:rPr>
        <w:t xml:space="preserve"> com relação </w:t>
      </w:r>
      <w:r w:rsidR="00EA2C18" w:rsidRPr="008C564D">
        <w:rPr>
          <w:color w:val="auto"/>
        </w:rPr>
        <w:t xml:space="preserve">ao </w:t>
      </w:r>
      <w:r w:rsidR="00AC2BFB" w:rsidRPr="008C564D">
        <w:rPr>
          <w:color w:val="auto"/>
        </w:rPr>
        <w:t>p</w:t>
      </w:r>
      <w:r w:rsidR="00EA2C18" w:rsidRPr="008C564D">
        <w:rPr>
          <w:color w:val="auto"/>
        </w:rPr>
        <w:t xml:space="preserve">arecer da PGE, </w:t>
      </w:r>
      <w:r w:rsidRPr="008C564D">
        <w:rPr>
          <w:color w:val="auto"/>
        </w:rPr>
        <w:t xml:space="preserve">sem esboçar </w:t>
      </w:r>
      <w:r w:rsidR="00EA2C18" w:rsidRPr="008C564D">
        <w:rPr>
          <w:color w:val="auto"/>
        </w:rPr>
        <w:t xml:space="preserve">efetivo </w:t>
      </w:r>
      <w:r w:rsidRPr="008C564D">
        <w:rPr>
          <w:color w:val="auto"/>
        </w:rPr>
        <w:t>pedido de informação.</w:t>
      </w:r>
      <w:r w:rsidR="00060457" w:rsidRPr="008C564D">
        <w:rPr>
          <w:color w:val="auto"/>
        </w:rPr>
        <w:t xml:space="preserve"> Ao que se depreende, o requerente busca em recurso ratificar a sua </w:t>
      </w:r>
      <w:r w:rsidR="00060457" w:rsidRPr="008C564D">
        <w:rPr>
          <w:color w:val="auto"/>
        </w:rPr>
        <w:lastRenderedPageBreak/>
        <w:t>interpretação, que diverge da informada pelo IGP.</w:t>
      </w:r>
      <w:r w:rsidR="00AC2BFB" w:rsidRPr="008C564D">
        <w:rPr>
          <w:color w:val="auto"/>
        </w:rPr>
        <w:t xml:space="preserve"> </w:t>
      </w:r>
      <w:r w:rsidR="00892638" w:rsidRPr="008C564D">
        <w:rPr>
          <w:color w:val="auto"/>
        </w:rPr>
        <w:t>Entre outras considerações, o</w:t>
      </w:r>
      <w:r w:rsidR="00AC2BFB" w:rsidRPr="008C564D">
        <w:rPr>
          <w:color w:val="auto"/>
        </w:rPr>
        <w:t xml:space="preserve"> demandante insiste que estariam implícitos no edital do certame os percentuais de vagas de cotistas de 20% para PCD e 20% para PNP.</w:t>
      </w:r>
    </w:p>
    <w:p w:rsidR="009C36EA" w:rsidRPr="008C564D" w:rsidRDefault="004E3387" w:rsidP="009C36EA">
      <w:pPr>
        <w:pStyle w:val="western"/>
        <w:spacing w:after="0" w:line="360" w:lineRule="auto"/>
        <w:ind w:firstLine="1418"/>
        <w:rPr>
          <w:color w:val="auto"/>
        </w:rPr>
      </w:pPr>
      <w:r w:rsidRPr="008C564D">
        <w:rPr>
          <w:color w:val="auto"/>
        </w:rPr>
        <w:t>Em verdade, o pedido de acesso à informação foi atendido e a discordância do recorrente quanto aos termos</w:t>
      </w:r>
      <w:r w:rsidR="002C65DB" w:rsidRPr="008C564D">
        <w:rPr>
          <w:color w:val="auto"/>
        </w:rPr>
        <w:t xml:space="preserve"> da informação recebida</w:t>
      </w:r>
      <w:r w:rsidRPr="008C564D">
        <w:rPr>
          <w:color w:val="auto"/>
        </w:rPr>
        <w:t xml:space="preserve"> refoge à competência desta Comissão, nos termos da Súmula CMRI/RS</w:t>
      </w:r>
      <w:r w:rsidR="009C36EA" w:rsidRPr="008C564D">
        <w:rPr>
          <w:color w:val="auto"/>
        </w:rPr>
        <w:t xml:space="preserve"> nº </w:t>
      </w:r>
      <w:r w:rsidRPr="008C564D">
        <w:rPr>
          <w:color w:val="auto"/>
        </w:rPr>
        <w:t>0</w:t>
      </w:r>
      <w:r w:rsidR="00B672F1" w:rsidRPr="008C564D">
        <w:rPr>
          <w:color w:val="auto"/>
        </w:rPr>
        <w:t>3</w:t>
      </w:r>
      <w:r w:rsidR="009C36EA" w:rsidRPr="008C564D">
        <w:rPr>
          <w:color w:val="auto"/>
        </w:rPr>
        <w:t>:</w:t>
      </w:r>
    </w:p>
    <w:p w:rsidR="009C36EA" w:rsidRPr="008C564D" w:rsidRDefault="009C36EA" w:rsidP="009C36EA">
      <w:pPr>
        <w:pStyle w:val="NormalWeb"/>
        <w:spacing w:after="0" w:line="240" w:lineRule="auto"/>
        <w:ind w:left="1418"/>
        <w:rPr>
          <w:rFonts w:ascii="Arial" w:hAnsi="Arial" w:cs="Arial"/>
          <w:color w:val="auto"/>
          <w:sz w:val="18"/>
          <w:szCs w:val="18"/>
        </w:rPr>
      </w:pPr>
      <w:r w:rsidRPr="008C564D">
        <w:rPr>
          <w:rFonts w:ascii="Arial" w:hAnsi="Arial" w:cs="Arial"/>
          <w:color w:val="auto"/>
          <w:sz w:val="18"/>
          <w:szCs w:val="18"/>
        </w:rPr>
        <w:t xml:space="preserve">Súmula </w:t>
      </w:r>
      <w:r w:rsidR="00B672F1" w:rsidRPr="008C564D">
        <w:rPr>
          <w:rFonts w:ascii="Arial" w:hAnsi="Arial" w:cs="Arial"/>
          <w:color w:val="auto"/>
          <w:sz w:val="18"/>
          <w:szCs w:val="18"/>
        </w:rPr>
        <w:t>3</w:t>
      </w:r>
      <w:r w:rsidRPr="008C564D">
        <w:rPr>
          <w:rFonts w:ascii="Arial" w:hAnsi="Arial" w:cs="Arial"/>
          <w:color w:val="auto"/>
          <w:sz w:val="18"/>
          <w:szCs w:val="18"/>
        </w:rPr>
        <w:t xml:space="preserve"> – </w:t>
      </w:r>
      <w:r w:rsidR="00B672F1" w:rsidRPr="008C564D">
        <w:rPr>
          <w:rFonts w:ascii="Arial" w:hAnsi="Arial" w:cs="Arial"/>
          <w:color w:val="auto"/>
          <w:sz w:val="18"/>
          <w:szCs w:val="18"/>
        </w:rPr>
        <w:t>A mera discordância do interessado quanto ao mérito da informação fornecida ou a solicitação de adoção de outras providências não se enquadra como pedido de acesso á informação, não devendo ser conhecido o recurso por refugir à competência da CMRI/RS.</w:t>
      </w:r>
    </w:p>
    <w:p w:rsidR="00E9360C" w:rsidRPr="008C564D" w:rsidRDefault="00E9360C" w:rsidP="009C36EA">
      <w:pPr>
        <w:pStyle w:val="NormalWeb"/>
        <w:spacing w:after="0" w:line="240" w:lineRule="auto"/>
        <w:ind w:left="1418"/>
        <w:rPr>
          <w:rFonts w:ascii="Arial" w:hAnsi="Arial" w:cs="Arial"/>
          <w:color w:val="auto"/>
        </w:rPr>
      </w:pPr>
    </w:p>
    <w:p w:rsidR="00E9360C" w:rsidRPr="008C564D" w:rsidRDefault="009C36EA" w:rsidP="00E9360C">
      <w:pPr>
        <w:pStyle w:val="western"/>
        <w:spacing w:before="0" w:beforeAutospacing="0" w:after="0" w:line="360" w:lineRule="auto"/>
        <w:ind w:firstLine="1418"/>
        <w:rPr>
          <w:color w:val="auto"/>
        </w:rPr>
      </w:pPr>
      <w:r w:rsidRPr="008C564D">
        <w:rPr>
          <w:color w:val="auto"/>
        </w:rPr>
        <w:t xml:space="preserve">Assim, o voto vai no sentido de </w:t>
      </w:r>
      <w:r w:rsidR="00B4016D" w:rsidRPr="008C564D">
        <w:rPr>
          <w:color w:val="auto"/>
        </w:rPr>
        <w:t xml:space="preserve">não conhecer o recurso, </w:t>
      </w:r>
      <w:r w:rsidRPr="008C564D">
        <w:rPr>
          <w:color w:val="auto"/>
        </w:rPr>
        <w:t xml:space="preserve">visto que não houve indeferimento do pedido de informações ou negativa de acesso, </w:t>
      </w:r>
      <w:r w:rsidR="00B672F1" w:rsidRPr="008C564D">
        <w:rPr>
          <w:color w:val="auto"/>
        </w:rPr>
        <w:t>mas mera discordância do re</w:t>
      </w:r>
      <w:r w:rsidR="00B4016D" w:rsidRPr="008C564D">
        <w:rPr>
          <w:color w:val="auto"/>
        </w:rPr>
        <w:t xml:space="preserve">corrente </w:t>
      </w:r>
      <w:r w:rsidR="00B672F1" w:rsidRPr="008C564D">
        <w:rPr>
          <w:color w:val="auto"/>
        </w:rPr>
        <w:t>com relação às informações prestadas</w:t>
      </w:r>
      <w:r w:rsidRPr="008C564D">
        <w:rPr>
          <w:color w:val="auto"/>
        </w:rPr>
        <w:t>.</w:t>
      </w:r>
    </w:p>
    <w:p w:rsidR="00E9360C" w:rsidRPr="008C564D" w:rsidRDefault="00E9360C" w:rsidP="00E9360C">
      <w:pPr>
        <w:pStyle w:val="western"/>
        <w:spacing w:before="0" w:beforeAutospacing="0" w:after="0" w:line="360" w:lineRule="auto"/>
        <w:ind w:firstLine="1418"/>
        <w:rPr>
          <w:color w:val="auto"/>
        </w:rPr>
      </w:pPr>
    </w:p>
    <w:p w:rsidR="00E9360C" w:rsidRPr="008C564D" w:rsidRDefault="00E9360C" w:rsidP="007760CA">
      <w:pPr>
        <w:spacing w:line="360" w:lineRule="auto"/>
        <w:ind w:firstLine="1418"/>
        <w:rPr>
          <w:color w:val="auto"/>
        </w:rPr>
      </w:pPr>
      <w:r w:rsidRPr="008C564D">
        <w:rPr>
          <w:color w:val="auto"/>
        </w:rPr>
        <w:t>Por fim, em razão do descumprimento do prazo legal de resposta do pedido de reexame, recomenda-se a remessa da presente Decisão ao IGP</w:t>
      </w:r>
      <w:r w:rsidR="007760CA" w:rsidRPr="008C564D">
        <w:rPr>
          <w:color w:val="auto"/>
        </w:rPr>
        <w:t>, a fim de que o mesmo seja notificado</w:t>
      </w:r>
      <w:r w:rsidRPr="008C564D">
        <w:rPr>
          <w:color w:val="auto"/>
        </w:rPr>
        <w:t xml:space="preserve"> de que a inobservância dos prazos do Decreto Estadual nº 49.111/2012 poderá gerar futuras responsabilizações, caso se verifique conduta reiterada. </w:t>
      </w:r>
    </w:p>
    <w:p w:rsidR="009C36EA" w:rsidRPr="008C564D" w:rsidRDefault="009C36EA" w:rsidP="009C36EA">
      <w:pPr>
        <w:pStyle w:val="NormalWeb"/>
        <w:spacing w:after="0" w:line="360" w:lineRule="auto"/>
        <w:ind w:firstLine="1440"/>
        <w:rPr>
          <w:rFonts w:ascii="Arial" w:hAnsi="Arial" w:cs="Arial"/>
          <w:color w:val="auto"/>
        </w:rPr>
      </w:pPr>
      <w:r w:rsidRPr="008C564D">
        <w:rPr>
          <w:rFonts w:ascii="Arial" w:hAnsi="Arial" w:cs="Arial"/>
          <w:b/>
          <w:color w:val="auto"/>
        </w:rPr>
        <w:t>Recurso na Demanda nº 25.360:</w:t>
      </w:r>
      <w:r w:rsidRPr="008C564D">
        <w:rPr>
          <w:rFonts w:ascii="Arial" w:hAnsi="Arial" w:cs="Arial"/>
          <w:color w:val="auto"/>
        </w:rPr>
        <w:t xml:space="preserve"> “N</w:t>
      </w:r>
      <w:r w:rsidR="00B4016D" w:rsidRPr="008C564D">
        <w:rPr>
          <w:rFonts w:ascii="Arial" w:hAnsi="Arial" w:cs="Arial"/>
          <w:color w:val="auto"/>
        </w:rPr>
        <w:t>ão conheceram o recurso, por unanimidade</w:t>
      </w:r>
      <w:r w:rsidRPr="008C564D">
        <w:rPr>
          <w:rFonts w:ascii="Arial" w:hAnsi="Arial" w:cs="Arial"/>
          <w:color w:val="auto"/>
        </w:rPr>
        <w:t>.”</w:t>
      </w:r>
    </w:p>
    <w:p w:rsidR="007758E1" w:rsidRPr="008C564D" w:rsidRDefault="007758E1" w:rsidP="009C36EA">
      <w:pPr>
        <w:suppressAutoHyphens/>
        <w:spacing w:line="360" w:lineRule="auto"/>
        <w:ind w:firstLine="1418"/>
        <w:rPr>
          <w:color w:val="auto"/>
        </w:rPr>
      </w:pPr>
      <w:bookmarkStart w:id="0" w:name="_GoBack"/>
      <w:bookmarkEnd w:id="0"/>
    </w:p>
    <w:sectPr w:rsidR="007758E1" w:rsidRPr="008C564D" w:rsidSect="007758E1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24" w:rsidRDefault="00914A24" w:rsidP="007758E1">
      <w:r>
        <w:separator/>
      </w:r>
    </w:p>
  </w:endnote>
  <w:endnote w:type="continuationSeparator" w:id="0">
    <w:p w:rsidR="00914A24" w:rsidRDefault="00914A24" w:rsidP="007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519872"/>
      <w:docPartObj>
        <w:docPartGallery w:val="Page Numbers (Bottom of Page)"/>
        <w:docPartUnique/>
      </w:docPartObj>
    </w:sdtPr>
    <w:sdtEndPr/>
    <w:sdtContent>
      <w:p w:rsidR="00B4016D" w:rsidRDefault="00B401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4D">
          <w:rPr>
            <w:noProof/>
          </w:rPr>
          <w:t>1</w:t>
        </w:r>
        <w:r>
          <w:fldChar w:fldCharType="end"/>
        </w:r>
      </w:p>
    </w:sdtContent>
  </w:sdt>
  <w:p w:rsidR="007B19CD" w:rsidRDefault="007B19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24" w:rsidRDefault="00914A24" w:rsidP="007758E1">
      <w:r>
        <w:separator/>
      </w:r>
    </w:p>
  </w:footnote>
  <w:footnote w:type="continuationSeparator" w:id="0">
    <w:p w:rsidR="00914A24" w:rsidRDefault="00914A24" w:rsidP="0077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680EF1" w:rsidRDefault="00680EF1" w:rsidP="00680EF1">
    <w:pPr>
      <w:pStyle w:val="Cabealho"/>
      <w:jc w:val="center"/>
    </w:pPr>
    <w:r>
      <w:tab/>
    </w:r>
    <w:r w:rsidR="00914A24">
      <w:rPr>
        <w:noProof/>
      </w:rPr>
      <w:pict>
        <v:group id="Group 5" o:spid="_x0000_s2052" style="position:absolute;left:0;text-align:left;margin-left:153.3pt;margin-top:45.15pt;width:269.3pt;height:71.95pt;z-index:25166028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3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680EF1" w:rsidRPr="00D64380" w:rsidRDefault="00680EF1" w:rsidP="00680EF1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80EF1" w:rsidRPr="00D64380" w:rsidRDefault="00680EF1" w:rsidP="00680EF1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80EF1" w:rsidRPr="00D64380" w:rsidRDefault="00680EF1" w:rsidP="00680EF1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4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680EF1" w:rsidRDefault="00680EF1" w:rsidP="00680EF1">
    <w:pPr>
      <w:pStyle w:val="Cabealho"/>
      <w:jc w:val="center"/>
    </w:pPr>
  </w:p>
  <w:p w:rsidR="00680EF1" w:rsidRDefault="00680EF1" w:rsidP="00680EF1">
    <w:pPr>
      <w:pStyle w:val="Cabealho"/>
      <w:jc w:val="center"/>
    </w:pPr>
  </w:p>
  <w:p w:rsidR="00680EF1" w:rsidRDefault="00680EF1" w:rsidP="00680EF1">
    <w:pPr>
      <w:pStyle w:val="Cabealho"/>
      <w:jc w:val="center"/>
    </w:pPr>
  </w:p>
  <w:p w:rsidR="00680EF1" w:rsidRDefault="00680EF1" w:rsidP="00680EF1">
    <w:pPr>
      <w:pStyle w:val="Cabealho"/>
      <w:jc w:val="center"/>
    </w:pPr>
  </w:p>
  <w:p w:rsidR="007B19CD" w:rsidRDefault="007B19CD" w:rsidP="004930B1">
    <w:pPr>
      <w:pStyle w:val="Cabealho"/>
      <w:tabs>
        <w:tab w:val="clear" w:pos="4419"/>
        <w:tab w:val="clear" w:pos="8838"/>
        <w:tab w:val="left" w:pos="3410"/>
      </w:tabs>
    </w:pPr>
  </w:p>
  <w:p w:rsidR="007B19CD" w:rsidRDefault="0084288D">
    <w:pPr>
      <w:pStyle w:val="Cabealho"/>
    </w:pPr>
    <w:r>
      <w:t>SES</w:t>
    </w:r>
  </w:p>
  <w:p w:rsidR="007B19CD" w:rsidRDefault="006D616D">
    <w:pPr>
      <w:pStyle w:val="Cabealho"/>
    </w:pPr>
    <w:r>
      <w:t xml:space="preserve">decisão Nº </w:t>
    </w:r>
    <w:r w:rsidR="004930B1">
      <w:t>010</w:t>
    </w:r>
    <w:r w:rsidR="007B19CD">
      <w:t>/20</w:t>
    </w:r>
    <w:r w:rsidR="00F43467">
      <w:t>20</w:t>
    </w:r>
  </w:p>
  <w:p w:rsidR="007B19CD" w:rsidRDefault="007B19CD">
    <w:pPr>
      <w:pStyle w:val="Cabealho"/>
      <w:tabs>
        <w:tab w:val="right" w:pos="8460"/>
      </w:tabs>
    </w:pPr>
    <w:r>
      <w:t>20</w:t>
    </w:r>
    <w:r w:rsidR="00F43467">
      <w:t>20</w:t>
    </w:r>
    <w:r w:rsidR="002C1FF3">
      <w:t>/</w:t>
    </w:r>
    <w:r w:rsidR="00F43467">
      <w:t>IGP</w:t>
    </w:r>
  </w:p>
  <w:p w:rsidR="007B19CD" w:rsidRDefault="007B19CD">
    <w:pPr>
      <w:pStyle w:val="Cabealho"/>
      <w:tabs>
        <w:tab w:val="right" w:pos="84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8E1"/>
    <w:rsid w:val="0002480B"/>
    <w:rsid w:val="000315E8"/>
    <w:rsid w:val="00042441"/>
    <w:rsid w:val="00057C92"/>
    <w:rsid w:val="00060457"/>
    <w:rsid w:val="00083993"/>
    <w:rsid w:val="000856FA"/>
    <w:rsid w:val="000A7952"/>
    <w:rsid w:val="000E033C"/>
    <w:rsid w:val="000E2BAC"/>
    <w:rsid w:val="000E7A62"/>
    <w:rsid w:val="000F2997"/>
    <w:rsid w:val="000F6269"/>
    <w:rsid w:val="001021E9"/>
    <w:rsid w:val="00113ACE"/>
    <w:rsid w:val="00131870"/>
    <w:rsid w:val="001338ED"/>
    <w:rsid w:val="00144A9E"/>
    <w:rsid w:val="00146810"/>
    <w:rsid w:val="001829E4"/>
    <w:rsid w:val="00197560"/>
    <w:rsid w:val="0020448F"/>
    <w:rsid w:val="00232616"/>
    <w:rsid w:val="00250424"/>
    <w:rsid w:val="00250FFE"/>
    <w:rsid w:val="002606A1"/>
    <w:rsid w:val="00266EE3"/>
    <w:rsid w:val="00267A78"/>
    <w:rsid w:val="00284FD2"/>
    <w:rsid w:val="002A02BF"/>
    <w:rsid w:val="002C1FF3"/>
    <w:rsid w:val="002C65DB"/>
    <w:rsid w:val="002D1C6D"/>
    <w:rsid w:val="002E2EE9"/>
    <w:rsid w:val="0032014A"/>
    <w:rsid w:val="0033447A"/>
    <w:rsid w:val="003371EA"/>
    <w:rsid w:val="003401FF"/>
    <w:rsid w:val="00361F6C"/>
    <w:rsid w:val="00363F2B"/>
    <w:rsid w:val="0038161A"/>
    <w:rsid w:val="003A7515"/>
    <w:rsid w:val="003B6D38"/>
    <w:rsid w:val="003D7588"/>
    <w:rsid w:val="003E3A73"/>
    <w:rsid w:val="00432F90"/>
    <w:rsid w:val="00440968"/>
    <w:rsid w:val="0044279E"/>
    <w:rsid w:val="00445FEF"/>
    <w:rsid w:val="004669E2"/>
    <w:rsid w:val="00477F64"/>
    <w:rsid w:val="00484FDA"/>
    <w:rsid w:val="004930B1"/>
    <w:rsid w:val="004B28C7"/>
    <w:rsid w:val="004B74ED"/>
    <w:rsid w:val="004E3387"/>
    <w:rsid w:val="004E3DF2"/>
    <w:rsid w:val="00522D51"/>
    <w:rsid w:val="00531934"/>
    <w:rsid w:val="005337EA"/>
    <w:rsid w:val="0053588C"/>
    <w:rsid w:val="00556F78"/>
    <w:rsid w:val="005761B7"/>
    <w:rsid w:val="005918E1"/>
    <w:rsid w:val="005B0107"/>
    <w:rsid w:val="005B19E9"/>
    <w:rsid w:val="005B3A6B"/>
    <w:rsid w:val="005B5599"/>
    <w:rsid w:val="005C0976"/>
    <w:rsid w:val="005C6BB1"/>
    <w:rsid w:val="005D3BE6"/>
    <w:rsid w:val="005D5A8D"/>
    <w:rsid w:val="005F70EA"/>
    <w:rsid w:val="0061675E"/>
    <w:rsid w:val="0063572D"/>
    <w:rsid w:val="00642143"/>
    <w:rsid w:val="0066721B"/>
    <w:rsid w:val="0067045B"/>
    <w:rsid w:val="0067295B"/>
    <w:rsid w:val="00680EF1"/>
    <w:rsid w:val="006849BB"/>
    <w:rsid w:val="006C21F6"/>
    <w:rsid w:val="006C5433"/>
    <w:rsid w:val="006D616D"/>
    <w:rsid w:val="006E2805"/>
    <w:rsid w:val="00712717"/>
    <w:rsid w:val="0072239F"/>
    <w:rsid w:val="00723FEF"/>
    <w:rsid w:val="007407B3"/>
    <w:rsid w:val="00753AD5"/>
    <w:rsid w:val="007547E6"/>
    <w:rsid w:val="007571BD"/>
    <w:rsid w:val="007758E1"/>
    <w:rsid w:val="007760CA"/>
    <w:rsid w:val="007B19CD"/>
    <w:rsid w:val="007B695A"/>
    <w:rsid w:val="007D1549"/>
    <w:rsid w:val="007F25D9"/>
    <w:rsid w:val="0080262E"/>
    <w:rsid w:val="008130A8"/>
    <w:rsid w:val="008352FA"/>
    <w:rsid w:val="0084288D"/>
    <w:rsid w:val="0085206F"/>
    <w:rsid w:val="00854E72"/>
    <w:rsid w:val="00855381"/>
    <w:rsid w:val="0086102E"/>
    <w:rsid w:val="008861EA"/>
    <w:rsid w:val="00892638"/>
    <w:rsid w:val="008B452B"/>
    <w:rsid w:val="008C38F1"/>
    <w:rsid w:val="008C564D"/>
    <w:rsid w:val="008D1E72"/>
    <w:rsid w:val="008F5912"/>
    <w:rsid w:val="00902EFD"/>
    <w:rsid w:val="00914A24"/>
    <w:rsid w:val="00930E01"/>
    <w:rsid w:val="009A1363"/>
    <w:rsid w:val="009C36EA"/>
    <w:rsid w:val="009E53B2"/>
    <w:rsid w:val="009F0D80"/>
    <w:rsid w:val="009F3823"/>
    <w:rsid w:val="009F6435"/>
    <w:rsid w:val="00A026A4"/>
    <w:rsid w:val="00A32D04"/>
    <w:rsid w:val="00AA331C"/>
    <w:rsid w:val="00AB5CB0"/>
    <w:rsid w:val="00AC2BFB"/>
    <w:rsid w:val="00AE7929"/>
    <w:rsid w:val="00AF4CD4"/>
    <w:rsid w:val="00B2298D"/>
    <w:rsid w:val="00B23DCE"/>
    <w:rsid w:val="00B37C99"/>
    <w:rsid w:val="00B4016D"/>
    <w:rsid w:val="00B50746"/>
    <w:rsid w:val="00B655A7"/>
    <w:rsid w:val="00B66BE4"/>
    <w:rsid w:val="00B672F1"/>
    <w:rsid w:val="00B845C7"/>
    <w:rsid w:val="00BB09A2"/>
    <w:rsid w:val="00BD7D2B"/>
    <w:rsid w:val="00BE5EAB"/>
    <w:rsid w:val="00BF69D7"/>
    <w:rsid w:val="00C10F55"/>
    <w:rsid w:val="00C16646"/>
    <w:rsid w:val="00C23C28"/>
    <w:rsid w:val="00C3073E"/>
    <w:rsid w:val="00C34F5F"/>
    <w:rsid w:val="00C54677"/>
    <w:rsid w:val="00C62F06"/>
    <w:rsid w:val="00C66A7E"/>
    <w:rsid w:val="00C823E1"/>
    <w:rsid w:val="00C86C6C"/>
    <w:rsid w:val="00C96EFC"/>
    <w:rsid w:val="00CA617B"/>
    <w:rsid w:val="00CC78ED"/>
    <w:rsid w:val="00CD1CEA"/>
    <w:rsid w:val="00CD6004"/>
    <w:rsid w:val="00CF7CFC"/>
    <w:rsid w:val="00D06300"/>
    <w:rsid w:val="00D069F3"/>
    <w:rsid w:val="00D279D4"/>
    <w:rsid w:val="00D36AB9"/>
    <w:rsid w:val="00D6613B"/>
    <w:rsid w:val="00D767AC"/>
    <w:rsid w:val="00D85299"/>
    <w:rsid w:val="00DA0A9E"/>
    <w:rsid w:val="00DB6F53"/>
    <w:rsid w:val="00DC37D4"/>
    <w:rsid w:val="00DC6287"/>
    <w:rsid w:val="00DD236B"/>
    <w:rsid w:val="00DD2F4C"/>
    <w:rsid w:val="00DE06F0"/>
    <w:rsid w:val="00DF1A2E"/>
    <w:rsid w:val="00DF7497"/>
    <w:rsid w:val="00E102E0"/>
    <w:rsid w:val="00E16316"/>
    <w:rsid w:val="00E17EC6"/>
    <w:rsid w:val="00E70BA4"/>
    <w:rsid w:val="00E9360C"/>
    <w:rsid w:val="00E96E62"/>
    <w:rsid w:val="00EA2C18"/>
    <w:rsid w:val="00EB4BC5"/>
    <w:rsid w:val="00EC5A40"/>
    <w:rsid w:val="00ED4817"/>
    <w:rsid w:val="00EE03F3"/>
    <w:rsid w:val="00EE7834"/>
    <w:rsid w:val="00EF0F51"/>
    <w:rsid w:val="00EF2A70"/>
    <w:rsid w:val="00EF5B27"/>
    <w:rsid w:val="00EF6507"/>
    <w:rsid w:val="00F04FCD"/>
    <w:rsid w:val="00F06A6E"/>
    <w:rsid w:val="00F1125A"/>
    <w:rsid w:val="00F21661"/>
    <w:rsid w:val="00F22605"/>
    <w:rsid w:val="00F27579"/>
    <w:rsid w:val="00F43467"/>
    <w:rsid w:val="00F46ABE"/>
    <w:rsid w:val="00F5220E"/>
    <w:rsid w:val="00F6296A"/>
    <w:rsid w:val="00F73D2B"/>
    <w:rsid w:val="00F84B11"/>
    <w:rsid w:val="00F9647F"/>
    <w:rsid w:val="00FD1EB8"/>
    <w:rsid w:val="00FD5658"/>
    <w:rsid w:val="00FF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218119C-9655-4A0E-9982-1AFC3C9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36EA"/>
    <w:pPr>
      <w:spacing w:before="100" w:beforeAutospacing="1" w:after="142" w:line="288" w:lineRule="auto"/>
    </w:pPr>
    <w:rPr>
      <w:rFonts w:ascii="Times New Roman" w:hAnsi="Times New Roman" w:cs="Times New Roman"/>
    </w:rPr>
  </w:style>
  <w:style w:type="paragraph" w:customStyle="1" w:styleId="western">
    <w:name w:val="western"/>
    <w:basedOn w:val="Normal"/>
    <w:rsid w:val="009C36EA"/>
    <w:pPr>
      <w:spacing w:before="100" w:beforeAutospacing="1" w:after="142" w:line="288" w:lineRule="auto"/>
    </w:pPr>
  </w:style>
  <w:style w:type="character" w:styleId="Hyperlink">
    <w:name w:val="Hyperlink"/>
    <w:basedOn w:val="Fontepargpadro"/>
    <w:uiPriority w:val="99"/>
    <w:semiHidden/>
    <w:unhideWhenUsed/>
    <w:rsid w:val="0038161A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B4016D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4D3A-CA22-48FD-A5C3-D96FEBE7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1520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 Barcellos</cp:lastModifiedBy>
  <cp:revision>69</cp:revision>
  <cp:lastPrinted>2004-02-18T20:05:00Z</cp:lastPrinted>
  <dcterms:created xsi:type="dcterms:W3CDTF">2020-05-26T17:26:00Z</dcterms:created>
  <dcterms:modified xsi:type="dcterms:W3CDTF">2020-06-22T16:55:00Z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