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9" w:rsidRPr="00C21B60" w:rsidRDefault="00324A29" w:rsidP="00324A29">
      <w:pPr>
        <w:ind w:left="2835"/>
        <w:rPr>
          <w:b/>
        </w:rPr>
      </w:pPr>
    </w:p>
    <w:p w:rsidR="00C21B60" w:rsidRPr="00C21B60" w:rsidRDefault="00C21B60" w:rsidP="00C21B60">
      <w:pPr>
        <w:ind w:left="2835"/>
        <w:rPr>
          <w:b/>
        </w:rPr>
      </w:pPr>
      <w:r w:rsidRPr="00C21B60">
        <w:rPr>
          <w:b/>
        </w:rPr>
        <w:t>Recurso. Cidadão a</w:t>
      </w:r>
      <w:r w:rsidR="00B108C0" w:rsidRPr="00C21B60">
        <w:rPr>
          <w:b/>
        </w:rPr>
        <w:t>duz erro e questiona acerca do critério de alternância entr</w:t>
      </w:r>
      <w:r w:rsidRPr="00C21B60">
        <w:rPr>
          <w:b/>
        </w:rPr>
        <w:t xml:space="preserve">e as promoções por mérito e </w:t>
      </w:r>
      <w:r w:rsidR="00B108C0" w:rsidRPr="00C21B60">
        <w:rPr>
          <w:b/>
        </w:rPr>
        <w:t>antiguidade</w:t>
      </w:r>
      <w:r w:rsidRPr="00C21B60">
        <w:rPr>
          <w:b/>
        </w:rPr>
        <w:t xml:space="preserve"> na FAPERGS</w:t>
      </w:r>
      <w:r w:rsidR="00B108C0" w:rsidRPr="00C21B60">
        <w:rPr>
          <w:b/>
        </w:rPr>
        <w:t xml:space="preserve">, </w:t>
      </w:r>
      <w:r w:rsidRPr="00C21B60">
        <w:rPr>
          <w:b/>
        </w:rPr>
        <w:t xml:space="preserve">conforme estaria estabelecido no </w:t>
      </w:r>
      <w:r w:rsidR="00B108C0" w:rsidRPr="00C21B60">
        <w:rPr>
          <w:b/>
        </w:rPr>
        <w:t>Decreto</w:t>
      </w:r>
      <w:r w:rsidRPr="00C21B60">
        <w:rPr>
          <w:b/>
        </w:rPr>
        <w:t xml:space="preserve"> nº</w:t>
      </w:r>
      <w:r w:rsidR="00B108C0" w:rsidRPr="00C21B60">
        <w:rPr>
          <w:b/>
        </w:rPr>
        <w:t xml:space="preserve"> 52.111</w:t>
      </w:r>
      <w:r w:rsidRPr="00C21B60">
        <w:rPr>
          <w:b/>
        </w:rPr>
        <w:t>/2014</w:t>
      </w:r>
      <w:r w:rsidR="00324A29" w:rsidRPr="00C21B60">
        <w:rPr>
          <w:b/>
        </w:rPr>
        <w:t>.</w:t>
      </w:r>
      <w:r w:rsidRPr="00C21B60">
        <w:rPr>
          <w:b/>
        </w:rPr>
        <w:t xml:space="preserve"> Discordância quanto ao mérito da resposta fornecida</w:t>
      </w:r>
      <w:r w:rsidRPr="00C21B60">
        <w:rPr>
          <w:b/>
          <w:color w:val="000000" w:themeColor="text1"/>
        </w:rPr>
        <w:t xml:space="preserve">. Hipótese que não se enquadra como solicitação de acesso, </w:t>
      </w:r>
      <w:proofErr w:type="spellStart"/>
      <w:r w:rsidRPr="00C21B60">
        <w:rPr>
          <w:b/>
          <w:color w:val="000000" w:themeColor="text1"/>
        </w:rPr>
        <w:t>refugindo</w:t>
      </w:r>
      <w:proofErr w:type="spellEnd"/>
      <w:r w:rsidRPr="00C21B60">
        <w:rPr>
          <w:b/>
          <w:color w:val="000000" w:themeColor="text1"/>
        </w:rPr>
        <w:t xml:space="preserve"> à competência desta </w:t>
      </w:r>
      <w:r w:rsidRPr="00C21B60">
        <w:rPr>
          <w:b/>
        </w:rPr>
        <w:t>CMRI/RS (</w:t>
      </w:r>
      <w:proofErr w:type="spellStart"/>
      <w:r w:rsidRPr="00C21B60">
        <w:rPr>
          <w:b/>
        </w:rPr>
        <w:t>arts</w:t>
      </w:r>
      <w:proofErr w:type="spellEnd"/>
      <w:r w:rsidRPr="00C21B60">
        <w:rPr>
          <w:b/>
        </w:rPr>
        <w:t xml:space="preserve">. 22, inciso III, do Decreto nº 49.111/2012 e 17, inciso II, do Decreto nº 51.111/2014). Aplicabilidade da Súmula CMRI/RS nº 03. </w:t>
      </w:r>
      <w:r w:rsidRPr="00C21B60">
        <w:rPr>
          <w:b/>
          <w:color w:val="000000" w:themeColor="text1"/>
        </w:rPr>
        <w:t>RECURSO NÃO CONHECIDO.</w:t>
      </w:r>
    </w:p>
    <w:p w:rsidR="00C21B60" w:rsidRDefault="00C21B60" w:rsidP="00324A29">
      <w:pPr>
        <w:ind w:left="2835"/>
        <w:rPr>
          <w:b/>
        </w:rPr>
      </w:pPr>
    </w:p>
    <w:p w:rsidR="00324A29" w:rsidRPr="00B84C5C" w:rsidRDefault="00324A29" w:rsidP="00324A29">
      <w:pPr>
        <w:ind w:left="2835"/>
        <w:rPr>
          <w:b/>
          <w:bCs/>
        </w:rPr>
      </w:pPr>
    </w:p>
    <w:p w:rsidR="00324A29" w:rsidRPr="004057D5" w:rsidRDefault="00324A29" w:rsidP="00324A29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24A29" w:rsidRPr="00C125D3" w:rsidTr="007307BD">
        <w:trPr>
          <w:trHeight w:val="543"/>
        </w:trPr>
        <w:tc>
          <w:tcPr>
            <w:tcW w:w="4322" w:type="dxa"/>
          </w:tcPr>
          <w:p w:rsidR="00324A29" w:rsidRPr="00C125D3" w:rsidRDefault="00324A29" w:rsidP="007307BD">
            <w:pPr>
              <w:pStyle w:val="DadosCadastrais"/>
            </w:pPr>
            <w:r w:rsidRPr="00C125D3">
              <w:t>RECURSO</w:t>
            </w:r>
          </w:p>
          <w:p w:rsidR="00324A29" w:rsidRPr="00C125D3" w:rsidRDefault="00324A29" w:rsidP="007307BD">
            <w:pPr>
              <w:pStyle w:val="DadosCadastrais"/>
            </w:pPr>
          </w:p>
        </w:tc>
        <w:tc>
          <w:tcPr>
            <w:tcW w:w="4322" w:type="dxa"/>
          </w:tcPr>
          <w:p w:rsidR="00324A29" w:rsidRPr="00C125D3" w:rsidRDefault="00324A29" w:rsidP="007307BD">
            <w:pPr>
              <w:pStyle w:val="DadosCadastrais"/>
              <w:jc w:val="right"/>
            </w:pPr>
          </w:p>
        </w:tc>
      </w:tr>
      <w:tr w:rsidR="00324A29" w:rsidRPr="00C125D3" w:rsidTr="007307BD">
        <w:tc>
          <w:tcPr>
            <w:tcW w:w="4322" w:type="dxa"/>
          </w:tcPr>
          <w:p w:rsidR="00324A29" w:rsidRPr="000E387A" w:rsidRDefault="00324A29" w:rsidP="007307BD">
            <w:pPr>
              <w:pStyle w:val="DadosCadastrais"/>
            </w:pPr>
            <w:r w:rsidRPr="000E387A">
              <w:t>DEMANDA Nº 31.816</w:t>
            </w:r>
          </w:p>
          <w:p w:rsidR="00324A29" w:rsidRPr="000E387A" w:rsidRDefault="00324A29" w:rsidP="007307BD">
            <w:pPr>
              <w:pStyle w:val="DadosCadastrais"/>
            </w:pPr>
          </w:p>
        </w:tc>
        <w:tc>
          <w:tcPr>
            <w:tcW w:w="4322" w:type="dxa"/>
          </w:tcPr>
          <w:p w:rsidR="00324A29" w:rsidRPr="0006090D" w:rsidRDefault="003323D3" w:rsidP="007307BD">
            <w:pPr>
              <w:pStyle w:val="DadosCadastrais"/>
              <w:jc w:val="right"/>
            </w:pPr>
            <w:r>
              <w:t xml:space="preserve">      fapergs</w:t>
            </w:r>
          </w:p>
          <w:p w:rsidR="00324A29" w:rsidRPr="0006090D" w:rsidRDefault="00324A29" w:rsidP="007307BD">
            <w:pPr>
              <w:pStyle w:val="DadosCadastrais"/>
              <w:jc w:val="right"/>
            </w:pPr>
          </w:p>
        </w:tc>
      </w:tr>
      <w:tr w:rsidR="00324A29" w:rsidRPr="00C125D3" w:rsidTr="007307BD">
        <w:tc>
          <w:tcPr>
            <w:tcW w:w="4322" w:type="dxa"/>
          </w:tcPr>
          <w:p w:rsidR="00324A29" w:rsidRPr="000E387A" w:rsidRDefault="003323D3" w:rsidP="007307BD">
            <w:pPr>
              <w:pStyle w:val="DadosCadastrais"/>
            </w:pPr>
            <w:r w:rsidRPr="000E387A">
              <w:t>adonai josé eggert zorz</w:t>
            </w:r>
          </w:p>
          <w:p w:rsidR="00324A29" w:rsidRPr="000E387A" w:rsidRDefault="00324A29" w:rsidP="007307BD">
            <w:pPr>
              <w:pStyle w:val="DadosCadastrais"/>
            </w:pPr>
          </w:p>
        </w:tc>
        <w:tc>
          <w:tcPr>
            <w:tcW w:w="4322" w:type="dxa"/>
          </w:tcPr>
          <w:p w:rsidR="00324A29" w:rsidRPr="0006090D" w:rsidRDefault="00324A29" w:rsidP="007307BD">
            <w:pPr>
              <w:pStyle w:val="DadosCadastrais"/>
              <w:jc w:val="right"/>
            </w:pPr>
            <w:r w:rsidRPr="0006090D">
              <w:t xml:space="preserve">    RECORRENTE</w:t>
            </w:r>
          </w:p>
        </w:tc>
      </w:tr>
      <w:tr w:rsidR="00324A29" w:rsidRPr="00C125D3" w:rsidTr="007307BD">
        <w:tc>
          <w:tcPr>
            <w:tcW w:w="4322" w:type="dxa"/>
          </w:tcPr>
          <w:p w:rsidR="00324A29" w:rsidRPr="00C125D3" w:rsidRDefault="00324A29" w:rsidP="007307BD">
            <w:pPr>
              <w:pStyle w:val="DadosCadastrais"/>
            </w:pPr>
          </w:p>
        </w:tc>
        <w:tc>
          <w:tcPr>
            <w:tcW w:w="4322" w:type="dxa"/>
          </w:tcPr>
          <w:p w:rsidR="00324A29" w:rsidRPr="00C125D3" w:rsidRDefault="00324A29" w:rsidP="007307BD">
            <w:pPr>
              <w:pStyle w:val="DadosCadastrais"/>
              <w:jc w:val="right"/>
            </w:pPr>
          </w:p>
        </w:tc>
      </w:tr>
    </w:tbl>
    <w:p w:rsidR="00324A29" w:rsidRPr="00C125D3" w:rsidRDefault="00324A29" w:rsidP="00324A29"/>
    <w:p w:rsidR="00324A29" w:rsidRPr="00C125D3" w:rsidRDefault="00324A29" w:rsidP="00324A29">
      <w:pPr>
        <w:pStyle w:val="TtuloPrincipal"/>
      </w:pPr>
      <w:r w:rsidRPr="00C125D3">
        <w:t>DECISÃO</w:t>
      </w:r>
    </w:p>
    <w:p w:rsidR="00776413" w:rsidRPr="00C125D3" w:rsidRDefault="00324A29" w:rsidP="00776413">
      <w:pPr>
        <w:pStyle w:val="PargrafoNormal"/>
      </w:pPr>
      <w:r w:rsidRPr="00C125D3">
        <w:t>Vista, relatada e discutida</w:t>
      </w:r>
      <w:r>
        <w:t xml:space="preserve"> </w:t>
      </w:r>
      <w:r w:rsidRPr="00C125D3">
        <w:t>a</w:t>
      </w:r>
      <w:r>
        <w:t xml:space="preserve"> </w:t>
      </w:r>
      <w:r w:rsidRPr="00C125D3">
        <w:t xml:space="preserve">demanda. </w:t>
      </w:r>
    </w:p>
    <w:p w:rsidR="00776413" w:rsidRPr="0006090D" w:rsidRDefault="00324A29" w:rsidP="00776413">
      <w:pPr>
        <w:pStyle w:val="PargrafoNormal"/>
      </w:pPr>
      <w:r w:rsidRPr="00BB1C02">
        <w:t xml:space="preserve">Acordam os integrantes da Comissão Mista de Reavaliação de Informações – CMRI/RS, por </w:t>
      </w:r>
      <w:r w:rsidRPr="001170C6">
        <w:t xml:space="preserve">unanimidade, em </w:t>
      </w:r>
      <w:r w:rsidR="000E387A">
        <w:t>NÃO CONHECER do recurso</w:t>
      </w:r>
      <w:r w:rsidRPr="001170C6">
        <w:t>.</w:t>
      </w:r>
    </w:p>
    <w:p w:rsidR="003323D3" w:rsidRPr="00082568" w:rsidRDefault="003323D3" w:rsidP="003323D3">
      <w:pPr>
        <w:pStyle w:val="PargrafoNormal"/>
        <w:spacing w:after="0"/>
      </w:pPr>
      <w:r w:rsidRPr="00082568">
        <w:t>Participaram do julgamento, além do signatário, os representantes da Procuradoria-Geral do Estado, da Subchefia de Ética, Controle Público e Transparência da Secretaria da Casa Civil/RS; da Secretaria de</w:t>
      </w:r>
      <w:r>
        <w:t xml:space="preserve"> Planejamento, Governança e Gestão; </w:t>
      </w:r>
      <w:r w:rsidRPr="00082568">
        <w:t xml:space="preserve">da Secretaria da Educação; </w:t>
      </w:r>
      <w:r>
        <w:t xml:space="preserve">da Secretaria da Saúde; </w:t>
      </w:r>
      <w:r w:rsidRPr="00082568">
        <w:t xml:space="preserve">da Secretaria da Fazenda/Contadoria e Auditoria-Geral do Estado; da Secretaria </w:t>
      </w:r>
      <w:r>
        <w:t>de Justiça e Sistemas Penal e Socioeducativo; e da Secretaria da Igualdade, Cidadania, Direitos Humanos e Assistência Social.</w:t>
      </w:r>
    </w:p>
    <w:p w:rsidR="00324A29" w:rsidRPr="004057D5" w:rsidRDefault="00324A29" w:rsidP="00324A29">
      <w:pPr>
        <w:pStyle w:val="PargrafoNormal"/>
        <w:ind w:firstLine="0"/>
        <w:rPr>
          <w:color w:val="FF0000"/>
        </w:rPr>
      </w:pPr>
    </w:p>
    <w:p w:rsidR="00324A29" w:rsidRDefault="00324A29" w:rsidP="000E387A">
      <w:pPr>
        <w:pStyle w:val="PargrafoNormal"/>
        <w:ind w:firstLine="0"/>
        <w:jc w:val="center"/>
      </w:pPr>
      <w:r w:rsidRPr="003323D3">
        <w:lastRenderedPageBreak/>
        <w:t xml:space="preserve">Porto Alegre, </w:t>
      </w:r>
      <w:r w:rsidR="003323D3" w:rsidRPr="003323D3">
        <w:t>29 de março de 2022</w:t>
      </w:r>
      <w:r w:rsidRPr="003323D3">
        <w:t>.</w:t>
      </w:r>
    </w:p>
    <w:p w:rsidR="000E387A" w:rsidRPr="003323D3" w:rsidRDefault="000E387A" w:rsidP="000E387A">
      <w:pPr>
        <w:pStyle w:val="PargrafoNormal"/>
        <w:ind w:firstLine="0"/>
        <w:jc w:val="center"/>
      </w:pPr>
    </w:p>
    <w:p w:rsidR="00324A29" w:rsidRPr="003323D3" w:rsidRDefault="00324A29" w:rsidP="00324A29">
      <w:pPr>
        <w:pStyle w:val="PargrafoNormal"/>
        <w:spacing w:after="0" w:line="240" w:lineRule="auto"/>
        <w:ind w:firstLine="0"/>
        <w:jc w:val="center"/>
      </w:pPr>
    </w:p>
    <w:p w:rsidR="00324A29" w:rsidRPr="003323D3" w:rsidRDefault="00324A29" w:rsidP="00324A29">
      <w:pPr>
        <w:pStyle w:val="PargrafoNormal"/>
        <w:spacing w:after="0" w:line="240" w:lineRule="auto"/>
        <w:ind w:firstLine="0"/>
        <w:jc w:val="center"/>
        <w:rPr>
          <w:b/>
        </w:rPr>
      </w:pPr>
      <w:r w:rsidRPr="003323D3">
        <w:rPr>
          <w:b/>
        </w:rPr>
        <w:t>Secretar</w:t>
      </w:r>
      <w:r w:rsidR="0085758F" w:rsidRPr="003323D3">
        <w:rPr>
          <w:b/>
        </w:rPr>
        <w:t>i</w:t>
      </w:r>
      <w:r w:rsidRPr="003323D3">
        <w:rPr>
          <w:b/>
        </w:rPr>
        <w:t xml:space="preserve">a da </w:t>
      </w:r>
      <w:r w:rsidR="00D925D6" w:rsidRPr="003323D3">
        <w:rPr>
          <w:b/>
        </w:rPr>
        <w:t>Segurança Pública</w:t>
      </w:r>
    </w:p>
    <w:p w:rsidR="00324A29" w:rsidRPr="003323D3" w:rsidRDefault="00324A29" w:rsidP="00324A29">
      <w:pPr>
        <w:pStyle w:val="PargrafoNormal"/>
        <w:spacing w:after="0" w:line="240" w:lineRule="auto"/>
        <w:ind w:firstLine="0"/>
        <w:jc w:val="center"/>
        <w:rPr>
          <w:b/>
        </w:rPr>
      </w:pPr>
      <w:r w:rsidRPr="003323D3">
        <w:rPr>
          <w:b/>
        </w:rPr>
        <w:t>Relator</w:t>
      </w:r>
    </w:p>
    <w:p w:rsidR="00324A29" w:rsidRPr="003323D3" w:rsidRDefault="00324A29" w:rsidP="00324A29">
      <w:pPr>
        <w:pStyle w:val="TtuloPrincipal"/>
        <w:keepNext w:val="0"/>
        <w:rPr>
          <w:sz w:val="24"/>
          <w:szCs w:val="24"/>
        </w:rPr>
      </w:pPr>
    </w:p>
    <w:p w:rsidR="00324A29" w:rsidRDefault="00324A29" w:rsidP="000E387A">
      <w:pPr>
        <w:pStyle w:val="TtuloPrincipal"/>
        <w:keepNext w:val="0"/>
        <w:rPr>
          <w:sz w:val="24"/>
          <w:szCs w:val="24"/>
        </w:rPr>
      </w:pPr>
      <w:r w:rsidRPr="003323D3">
        <w:rPr>
          <w:sz w:val="24"/>
          <w:szCs w:val="24"/>
        </w:rPr>
        <w:t>RELATÓRIO</w:t>
      </w:r>
    </w:p>
    <w:p w:rsidR="000E387A" w:rsidRPr="000E387A" w:rsidRDefault="000E387A" w:rsidP="000E387A">
      <w:pPr>
        <w:pStyle w:val="TtuloPrincipal"/>
        <w:keepNext w:val="0"/>
        <w:rPr>
          <w:sz w:val="24"/>
          <w:szCs w:val="24"/>
        </w:rPr>
      </w:pPr>
    </w:p>
    <w:p w:rsidR="00324A29" w:rsidRPr="003323D3" w:rsidRDefault="003323D3" w:rsidP="006D0C6A">
      <w:pPr>
        <w:pStyle w:val="NomeJulgadorPadro"/>
        <w:spacing w:after="0"/>
        <w:rPr>
          <w:b w:val="0"/>
          <w:caps w:val="0"/>
          <w:u w:val="single"/>
        </w:rPr>
      </w:pPr>
      <w:r w:rsidRPr="003323D3">
        <w:rPr>
          <w:u w:val="single"/>
        </w:rPr>
        <w:t xml:space="preserve">Secretaria da segurança pública </w:t>
      </w:r>
      <w:r w:rsidR="00324A29" w:rsidRPr="003323D3">
        <w:rPr>
          <w:u w:val="single"/>
        </w:rPr>
        <w:t>(RElATOR)</w:t>
      </w:r>
    </w:p>
    <w:p w:rsidR="003323D3" w:rsidRPr="000E387A" w:rsidRDefault="003323D3" w:rsidP="006D0C6A">
      <w:pPr>
        <w:pStyle w:val="NomeJulgadorPadro"/>
        <w:spacing w:after="0"/>
        <w:ind w:firstLine="1418"/>
        <w:rPr>
          <w:b w:val="0"/>
          <w:caps w:val="0"/>
          <w:u w:val="single"/>
        </w:rPr>
      </w:pPr>
    </w:p>
    <w:p w:rsidR="000E387A" w:rsidRDefault="00324A29" w:rsidP="00B80F80">
      <w:pPr>
        <w:pStyle w:val="SemEspaamento"/>
        <w:spacing w:line="360" w:lineRule="auto"/>
        <w:ind w:firstLine="1418"/>
      </w:pPr>
      <w:r w:rsidRPr="000E387A">
        <w:t xml:space="preserve">Trata-se de </w:t>
      </w:r>
      <w:r w:rsidR="006D0C6A" w:rsidRPr="000E387A">
        <w:t>pedido de acesso à informação promovido por ADONAI JOSÉ EGGERT ZORZ</w:t>
      </w:r>
      <w:r w:rsidR="000E387A" w:rsidRPr="000E387A">
        <w:t xml:space="preserve"> em face da FAPERGS, em 07/02/2022, nos seguintes termos:</w:t>
      </w:r>
    </w:p>
    <w:p w:rsidR="00B80F80" w:rsidRDefault="00B80F80" w:rsidP="00B80F80">
      <w:pPr>
        <w:pStyle w:val="SemEspaamento"/>
        <w:spacing w:line="360" w:lineRule="auto"/>
        <w:ind w:firstLine="1418"/>
      </w:pPr>
    </w:p>
    <w:p w:rsidR="000E387A" w:rsidRPr="000E387A" w:rsidRDefault="000E387A" w:rsidP="000E387A">
      <w:pPr>
        <w:pStyle w:val="SemEspaamento"/>
        <w:ind w:left="1985"/>
      </w:pPr>
      <w:r>
        <w:rPr>
          <w:color w:val="000000"/>
          <w:sz w:val="20"/>
          <w:szCs w:val="20"/>
          <w:shd w:val="clear" w:color="auto" w:fill="FFFFFF"/>
        </w:rPr>
        <w:t>“’O ato que promover indevidamente o(a) empregado(a) será declarado nulo, em benefício daquele(a) a quem por direito cabia a promoção.'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Parágrafo único, do Art. 18, do Anexo Único, do DEC 52.111/2014.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O § 2º, do Art. 3º, do Anexo Único, do DEC 52.111/2014, diz: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‘A concessão das promoções dar-se-á, alternadamente, primeiro por antiguidade e depois por merecimento, reiniciando-se a sua concessão, a cada ano, pelo critério inverso daquele em que ocorreu a última promoção no ano anterior.’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Dessa forma, pergunto se houve uma análise/estudo sobre a aplicação dos critérios de Antiguidade e Merecimento no Processo de Promoções de 2020.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Caso afirmativo, solicito uma cópia dessa análise/estudo; ou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Caso negativo, não houve por quê?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Considerando o teor desse segundo parágrafo, e que esse assunto é do interesse de TODOS os servidores da </w:t>
      </w:r>
      <w:proofErr w:type="spellStart"/>
      <w:r>
        <w:rPr>
          <w:color w:val="000000"/>
          <w:sz w:val="20"/>
          <w:szCs w:val="20"/>
          <w:shd w:val="clear" w:color="auto" w:fill="FFFFFF"/>
        </w:rPr>
        <w:t>Fapergs</w:t>
      </w:r>
      <w:proofErr w:type="spellEnd"/>
      <w:r>
        <w:rPr>
          <w:color w:val="000000"/>
          <w:sz w:val="20"/>
          <w:szCs w:val="20"/>
          <w:shd w:val="clear" w:color="auto" w:fill="FFFFFF"/>
        </w:rPr>
        <w:t>, qual das alternativas abaixo representa, da melhor forma, o que está expresso no texto legal? Por quê?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1 – ‘as promoções de um determinado ano devem iniciar pelo critério inverso daquele em que TERMINOU o processo de promoções no ano anterior’; ou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2 - “as promoções de um determinado ano devem iniciar pelo critério </w:t>
      </w:r>
      <w:r>
        <w:rPr>
          <w:color w:val="000000"/>
          <w:sz w:val="20"/>
          <w:szCs w:val="20"/>
          <w:shd w:val="clear" w:color="auto" w:fill="FFFFFF"/>
        </w:rPr>
        <w:lastRenderedPageBreak/>
        <w:t>inverso daquele em que INICIOU o processo de promoções no ano anterior”.</w:t>
      </w:r>
    </w:p>
    <w:p w:rsidR="000E387A" w:rsidRPr="000E387A" w:rsidRDefault="000E387A" w:rsidP="000E387A">
      <w:pPr>
        <w:pStyle w:val="NomeJulgadorPadro"/>
        <w:spacing w:after="0"/>
        <w:rPr>
          <w:b w:val="0"/>
          <w:caps w:val="0"/>
          <w:u w:val="single"/>
        </w:rPr>
      </w:pPr>
    </w:p>
    <w:p w:rsidR="000E387A" w:rsidRDefault="000E387A" w:rsidP="000E387A">
      <w:pPr>
        <w:pStyle w:val="SemEspaamento"/>
        <w:spacing w:line="360" w:lineRule="auto"/>
        <w:ind w:firstLine="1418"/>
      </w:pPr>
      <w:r>
        <w:t>Em 11/02/2022 a demandada FAPERGS respondeu e anexou documentos, nos termos abaixo:</w:t>
      </w:r>
    </w:p>
    <w:p w:rsidR="000E387A" w:rsidRDefault="000E387A" w:rsidP="000E387A">
      <w:pPr>
        <w:pStyle w:val="SemEspaamento"/>
        <w:spacing w:line="360" w:lineRule="auto"/>
        <w:ind w:firstLine="1418"/>
      </w:pPr>
    </w:p>
    <w:p w:rsidR="000E387A" w:rsidRPr="000E387A" w:rsidRDefault="000E387A" w:rsidP="000E387A">
      <w:pPr>
        <w:shd w:val="clear" w:color="auto" w:fill="FFFFFF"/>
        <w:ind w:left="1985"/>
        <w:rPr>
          <w:sz w:val="20"/>
          <w:szCs w:val="20"/>
        </w:rPr>
      </w:pPr>
      <w:r w:rsidRPr="00B80F80">
        <w:rPr>
          <w:sz w:val="20"/>
          <w:szCs w:val="20"/>
        </w:rPr>
        <w:t>“</w:t>
      </w:r>
      <w:proofErr w:type="gramStart"/>
      <w:r w:rsidRPr="000E387A">
        <w:rPr>
          <w:sz w:val="20"/>
          <w:szCs w:val="20"/>
        </w:rPr>
        <w:t>Prezado(</w:t>
      </w:r>
      <w:proofErr w:type="gramEnd"/>
      <w:r w:rsidRPr="000E387A">
        <w:rPr>
          <w:sz w:val="20"/>
          <w:szCs w:val="20"/>
        </w:rPr>
        <w:t>a) Senhor(a). Relativo ao seu pedido de informação ao Governo do Estado do Rio Grande do Sul, informamos que, a resposta consta em anexo no Ofício do Conselho Técnico Administrativo (CTA) da Fundação de Amparo à Pesquisa do Estado do Rio Grande do Sul - FAPERGS, bem como nos documentos anexados: Ofício do SEMAPI; Convocação da Reunião da Comissão pertinente; Parecer da Assessoria Jurídica e Despacho</w:t>
      </w:r>
      <w:r w:rsidRPr="00B80F80">
        <w:rPr>
          <w:sz w:val="20"/>
          <w:szCs w:val="20"/>
        </w:rPr>
        <w:t xml:space="preserve"> Final do CTA. Atenciosamente, </w:t>
      </w:r>
      <w:r w:rsidRPr="000E387A">
        <w:rPr>
          <w:sz w:val="20"/>
          <w:szCs w:val="20"/>
        </w:rPr>
        <w:t>Fundação de Amparo à Pesquisa do Estado do Rio Grande do Sul- FAPERGS</w:t>
      </w:r>
      <w:r w:rsidRPr="00B80F80">
        <w:rPr>
          <w:sz w:val="20"/>
          <w:szCs w:val="20"/>
        </w:rPr>
        <w:t>”</w:t>
      </w:r>
    </w:p>
    <w:p w:rsidR="000E387A" w:rsidRDefault="000E387A" w:rsidP="000E387A">
      <w:pPr>
        <w:pStyle w:val="SemEspaamento"/>
        <w:spacing w:line="360" w:lineRule="auto"/>
      </w:pPr>
    </w:p>
    <w:p w:rsidR="000E387A" w:rsidRDefault="000E387A" w:rsidP="006D0C6A">
      <w:pPr>
        <w:pStyle w:val="SemEspaamento"/>
        <w:spacing w:line="360" w:lineRule="auto"/>
        <w:ind w:firstLine="1418"/>
      </w:pPr>
      <w:proofErr w:type="spellStart"/>
      <w:r>
        <w:t>Irresignado</w:t>
      </w:r>
      <w:proofErr w:type="spellEnd"/>
      <w:r>
        <w:t>, o demandante encaminhou pedido de reexame, em 18/02/2022, conforme termos abaixo:</w:t>
      </w:r>
    </w:p>
    <w:p w:rsidR="000E387A" w:rsidRDefault="000E387A" w:rsidP="006D0C6A">
      <w:pPr>
        <w:pStyle w:val="SemEspaamento"/>
        <w:spacing w:line="360" w:lineRule="auto"/>
        <w:ind w:firstLine="1418"/>
      </w:pPr>
    </w:p>
    <w:p w:rsidR="000E387A" w:rsidRDefault="00B80F80" w:rsidP="00B80F80">
      <w:pPr>
        <w:pStyle w:val="SemEspaamento"/>
        <w:ind w:left="1985"/>
      </w:pPr>
      <w:r>
        <w:rPr>
          <w:color w:val="000000"/>
          <w:sz w:val="20"/>
          <w:szCs w:val="20"/>
          <w:shd w:val="clear" w:color="auto" w:fill="FFFFFF"/>
        </w:rPr>
        <w:t>“</w:t>
      </w:r>
      <w:r w:rsidR="000F13A3">
        <w:rPr>
          <w:color w:val="000000"/>
          <w:sz w:val="20"/>
          <w:szCs w:val="20"/>
          <w:shd w:val="clear" w:color="auto" w:fill="FFFFFF"/>
        </w:rPr>
        <w:t>O SEMAPI, Anx1, questionou acerca da interpretação da aplicação dos critérios de alternância, pois a lei veda a concessão de promoção pelo mesmo critério daquele em que ocorreu a última promoção do ano anterior. Ou seja, deve-se aplicar primeiro o critério inverso que TERMINARAM as promoções do ano anterior.</w:t>
      </w:r>
      <w:r w:rsidR="000F13A3">
        <w:rPr>
          <w:color w:val="000000"/>
          <w:sz w:val="20"/>
          <w:szCs w:val="20"/>
        </w:rPr>
        <w:br/>
      </w:r>
      <w:r w:rsidR="000F13A3">
        <w:rPr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="000F13A3">
        <w:rPr>
          <w:color w:val="000000"/>
          <w:sz w:val="20"/>
          <w:szCs w:val="20"/>
          <w:shd w:val="clear" w:color="auto" w:fill="FFFFFF"/>
        </w:rPr>
        <w:t>Fapergs</w:t>
      </w:r>
      <w:proofErr w:type="spellEnd"/>
      <w:r w:rsidR="000F13A3">
        <w:rPr>
          <w:color w:val="000000"/>
          <w:sz w:val="20"/>
          <w:szCs w:val="20"/>
          <w:shd w:val="clear" w:color="auto" w:fill="FFFFFF"/>
        </w:rPr>
        <w:t>, Anx1, respondeu (dedução minha) que a aplicação seria primeiro pelo critério inverso que INICIARAM as promoções do ano anterior.</w:t>
      </w:r>
      <w:r w:rsidR="000F13A3">
        <w:rPr>
          <w:color w:val="000000"/>
          <w:sz w:val="20"/>
          <w:szCs w:val="20"/>
        </w:rPr>
        <w:br/>
      </w:r>
      <w:r w:rsidR="000F13A3">
        <w:rPr>
          <w:color w:val="000000"/>
          <w:sz w:val="20"/>
          <w:szCs w:val="20"/>
          <w:shd w:val="clear" w:color="auto" w:fill="FFFFFF"/>
        </w:rPr>
        <w:t>Por quê? Esse entendimento viria de alguma análise/estudo?</w:t>
      </w:r>
      <w:r w:rsidR="000F13A3">
        <w:rPr>
          <w:color w:val="000000"/>
          <w:sz w:val="20"/>
          <w:szCs w:val="20"/>
        </w:rPr>
        <w:br/>
      </w:r>
      <w:r w:rsidR="000F13A3">
        <w:rPr>
          <w:color w:val="000000"/>
          <w:sz w:val="20"/>
          <w:szCs w:val="20"/>
          <w:shd w:val="clear" w:color="auto" w:fill="FFFFFF"/>
        </w:rPr>
        <w:t>O parecer, Anx3, é ret</w:t>
      </w:r>
      <w:r>
        <w:rPr>
          <w:color w:val="000000"/>
          <w:sz w:val="20"/>
          <w:szCs w:val="20"/>
          <w:shd w:val="clear" w:color="auto" w:fill="FFFFFF"/>
        </w:rPr>
        <w:t>órica vazia, que escapa para o ‘interstício’</w:t>
      </w:r>
      <w:r w:rsidR="000F13A3">
        <w:rPr>
          <w:color w:val="000000"/>
          <w:sz w:val="20"/>
          <w:szCs w:val="20"/>
          <w:shd w:val="clear" w:color="auto" w:fill="FFFFFF"/>
        </w:rPr>
        <w:t>, e que NADA!, repito, NADA fala sobre a aplicação dos critérios de antiguidade e merecimento.</w:t>
      </w:r>
      <w:r w:rsidR="000F13A3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O despacho, Anx4, fala ‘</w:t>
      </w:r>
      <w:r w:rsidR="000F13A3">
        <w:rPr>
          <w:color w:val="000000"/>
          <w:sz w:val="20"/>
          <w:szCs w:val="20"/>
          <w:shd w:val="clear" w:color="auto" w:fill="FFFFFF"/>
        </w:rPr>
        <w:t xml:space="preserve">que </w:t>
      </w:r>
      <w:r>
        <w:rPr>
          <w:color w:val="000000"/>
          <w:sz w:val="20"/>
          <w:szCs w:val="20"/>
          <w:shd w:val="clear" w:color="auto" w:fill="FFFFFF"/>
        </w:rPr>
        <w:t>se entende por "última promoção’</w:t>
      </w:r>
      <w:r w:rsidR="000F13A3">
        <w:rPr>
          <w:color w:val="000000"/>
          <w:sz w:val="20"/>
          <w:szCs w:val="20"/>
          <w:shd w:val="clear" w:color="auto" w:fill="FFFFFF"/>
        </w:rPr>
        <w:t xml:space="preserve"> é o último processo de promoção realizado naquele cargo e não a última </w:t>
      </w:r>
      <w:r>
        <w:rPr>
          <w:color w:val="000000"/>
          <w:sz w:val="20"/>
          <w:szCs w:val="20"/>
          <w:shd w:val="clear" w:color="auto" w:fill="FFFFFF"/>
        </w:rPr>
        <w:t>pessoa promovida naquele cargo.</w:t>
      </w:r>
      <w:r w:rsidR="000F13A3">
        <w:rPr>
          <w:color w:val="000000"/>
          <w:sz w:val="20"/>
          <w:szCs w:val="20"/>
        </w:rPr>
        <w:br/>
      </w:r>
      <w:r w:rsidR="000F13A3">
        <w:rPr>
          <w:color w:val="000000"/>
          <w:sz w:val="20"/>
          <w:szCs w:val="20"/>
          <w:shd w:val="clear" w:color="auto" w:fill="FFFFFF"/>
        </w:rPr>
        <w:t>Por quê? Esse entendimento viria de alguma análise/estudo?</w:t>
      </w:r>
      <w:r w:rsidR="000F13A3">
        <w:rPr>
          <w:color w:val="000000"/>
          <w:sz w:val="20"/>
          <w:szCs w:val="20"/>
        </w:rPr>
        <w:br/>
      </w:r>
      <w:r w:rsidR="000F13A3">
        <w:rPr>
          <w:color w:val="000000"/>
          <w:sz w:val="20"/>
          <w:szCs w:val="20"/>
          <w:shd w:val="clear" w:color="auto" w:fill="FFFFFF"/>
        </w:rPr>
        <w:t>Assim, respeitosamente, discordo de que as informações solicitadas teriam sido apresentadas.</w:t>
      </w:r>
      <w:r w:rsidR="000F13A3">
        <w:rPr>
          <w:color w:val="000000"/>
          <w:sz w:val="20"/>
          <w:szCs w:val="20"/>
        </w:rPr>
        <w:br/>
      </w:r>
      <w:r w:rsidR="000F13A3">
        <w:rPr>
          <w:color w:val="000000"/>
          <w:sz w:val="20"/>
          <w:szCs w:val="20"/>
          <w:shd w:val="clear" w:color="auto" w:fill="FFFFFF"/>
        </w:rPr>
        <w:t>Pois, se de fato houve uma análise/estudo, ela não está entre o material anexado. E, de forma clara e objetiva, qual opção representa o que</w:t>
      </w:r>
      <w:r>
        <w:rPr>
          <w:color w:val="000000"/>
          <w:sz w:val="20"/>
          <w:szCs w:val="20"/>
          <w:shd w:val="clear" w:color="auto" w:fill="FFFFFF"/>
        </w:rPr>
        <w:t xml:space="preserve"> está expresso no texto legal: ‘</w:t>
      </w:r>
      <w:r w:rsidR="000F13A3">
        <w:rPr>
          <w:color w:val="000000"/>
          <w:sz w:val="20"/>
          <w:szCs w:val="20"/>
          <w:shd w:val="clear" w:color="auto" w:fill="FFFFFF"/>
        </w:rPr>
        <w:t>as promoções de um determinado ano devem iniciar pelo critério inverso daquele em que TERMINOU ou INICIOU o process</w:t>
      </w:r>
      <w:r>
        <w:rPr>
          <w:color w:val="000000"/>
          <w:sz w:val="20"/>
          <w:szCs w:val="20"/>
          <w:shd w:val="clear" w:color="auto" w:fill="FFFFFF"/>
        </w:rPr>
        <w:t xml:space="preserve">o de promoções no ano </w:t>
      </w:r>
      <w:proofErr w:type="gramStart"/>
      <w:r>
        <w:rPr>
          <w:color w:val="000000"/>
          <w:sz w:val="20"/>
          <w:szCs w:val="20"/>
          <w:shd w:val="clear" w:color="auto" w:fill="FFFFFF"/>
        </w:rPr>
        <w:t>anterior?’</w:t>
      </w:r>
      <w:proofErr w:type="gramEnd"/>
      <w:r w:rsidR="000F13A3">
        <w:rPr>
          <w:color w:val="000000"/>
          <w:sz w:val="20"/>
          <w:szCs w:val="20"/>
          <w:shd w:val="clear" w:color="auto" w:fill="FFFFFF"/>
        </w:rPr>
        <w:t xml:space="preserve"> Por quê?</w:t>
      </w:r>
      <w:r w:rsidR="000F13A3">
        <w:rPr>
          <w:color w:val="000000"/>
          <w:sz w:val="20"/>
          <w:szCs w:val="20"/>
        </w:rPr>
        <w:br/>
      </w:r>
      <w:r w:rsidR="000F13A3">
        <w:rPr>
          <w:color w:val="000000"/>
          <w:sz w:val="20"/>
          <w:szCs w:val="20"/>
          <w:shd w:val="clear" w:color="auto" w:fill="FFFFFF"/>
        </w:rPr>
        <w:t>Pergunto, pois TODOS servidores são afetados igualmente, se não seria o caso de solicitar à PGE-RS a análise/estudo dessa matéria.</w:t>
      </w:r>
      <w:r w:rsidR="000F13A3">
        <w:rPr>
          <w:color w:val="000000"/>
          <w:sz w:val="20"/>
          <w:szCs w:val="20"/>
        </w:rPr>
        <w:br/>
      </w:r>
      <w:r w:rsidR="000F13A3">
        <w:rPr>
          <w:color w:val="000000"/>
          <w:sz w:val="20"/>
          <w:szCs w:val="20"/>
          <w:shd w:val="clear" w:color="auto" w:fill="FFFFFF"/>
        </w:rPr>
        <w:t>A propósito, esta solicitação NÃO é anônima.</w:t>
      </w:r>
      <w:r>
        <w:rPr>
          <w:color w:val="000000"/>
          <w:sz w:val="20"/>
          <w:szCs w:val="20"/>
          <w:shd w:val="clear" w:color="auto" w:fill="FFFFFF"/>
        </w:rPr>
        <w:t>”</w:t>
      </w:r>
    </w:p>
    <w:p w:rsidR="00B80F80" w:rsidRDefault="00B80F80" w:rsidP="00B80F80">
      <w:pPr>
        <w:pStyle w:val="SemEspaamento"/>
        <w:spacing w:line="360" w:lineRule="auto"/>
        <w:ind w:firstLine="1418"/>
      </w:pPr>
      <w:r>
        <w:lastRenderedPageBreak/>
        <w:t>Em 02/03/2022 a FAPERGS respondeu ao reexame com informações adicionais e anexando documentos:</w:t>
      </w:r>
    </w:p>
    <w:p w:rsidR="00B80F80" w:rsidRDefault="00B80F80" w:rsidP="00B80F80">
      <w:pPr>
        <w:pStyle w:val="SemEspaamento"/>
        <w:spacing w:line="360" w:lineRule="auto"/>
        <w:ind w:firstLine="1418"/>
      </w:pPr>
    </w:p>
    <w:p w:rsidR="00B80F80" w:rsidRPr="00B80F80" w:rsidRDefault="00B80F80" w:rsidP="00B80F80">
      <w:pPr>
        <w:shd w:val="clear" w:color="auto" w:fill="FFFFFF"/>
        <w:ind w:left="1985"/>
        <w:rPr>
          <w:sz w:val="20"/>
          <w:szCs w:val="20"/>
        </w:rPr>
      </w:pPr>
      <w:r w:rsidRPr="00B80F80">
        <w:rPr>
          <w:sz w:val="20"/>
          <w:szCs w:val="20"/>
        </w:rPr>
        <w:t>“</w:t>
      </w:r>
      <w:proofErr w:type="gramStart"/>
      <w:r w:rsidRPr="00B80F80">
        <w:rPr>
          <w:sz w:val="20"/>
          <w:szCs w:val="20"/>
        </w:rPr>
        <w:t>Prezado(</w:t>
      </w:r>
      <w:proofErr w:type="gramEnd"/>
      <w:r w:rsidRPr="00B80F80">
        <w:rPr>
          <w:sz w:val="20"/>
          <w:szCs w:val="20"/>
        </w:rPr>
        <w:t>a) Senhor(a). De ordem da autoridade máxima da Fundação de Amparo à Pesquisa do Estado do RS - FAPERGS, seguem informações adicionais visando atender ao pedido de reexame - Demanda 000 031 816. Informamos que, a resposta consta em anexo no Ofício do Conselho Técnico Administrativo (CTA) da FAPERGS, bem como nos documentos anexados: Parecer PGE 14597 2006 e Parecer PGE 16313 2014. Atenciosamente, Fundação de Amparo à Pesquisa do Estado do Rio Grande do Sul – FAPERGS”</w:t>
      </w:r>
    </w:p>
    <w:p w:rsidR="00B80F80" w:rsidRDefault="00B80F80" w:rsidP="00B80F80">
      <w:pPr>
        <w:pStyle w:val="SemEspaamento"/>
        <w:spacing w:line="360" w:lineRule="auto"/>
        <w:ind w:firstLine="1418"/>
      </w:pPr>
    </w:p>
    <w:p w:rsidR="00B80F80" w:rsidRDefault="00B80F80" w:rsidP="00B80F80">
      <w:pPr>
        <w:pStyle w:val="SemEspaamento"/>
        <w:spacing w:line="360" w:lineRule="auto"/>
        <w:ind w:firstLine="1418"/>
      </w:pPr>
      <w:r>
        <w:t>Insatisfeito com os esclarecimentos até então prestados, o cidadão interpôs recurso com o fundamento abaixo (em 05/03/2022):</w:t>
      </w:r>
    </w:p>
    <w:p w:rsidR="00B80F80" w:rsidRDefault="00B80F80" w:rsidP="00B80F80">
      <w:pPr>
        <w:pStyle w:val="SemEspaamento"/>
        <w:spacing w:line="360" w:lineRule="auto"/>
        <w:ind w:firstLine="1418"/>
      </w:pPr>
    </w:p>
    <w:p w:rsidR="00B80F80" w:rsidRPr="00B80F80" w:rsidRDefault="00B80F80" w:rsidP="00B80F80">
      <w:pPr>
        <w:pStyle w:val="SemEspaamento"/>
        <w:ind w:left="1985"/>
      </w:pPr>
      <w:r>
        <w:rPr>
          <w:sz w:val="20"/>
          <w:szCs w:val="20"/>
          <w:shd w:val="clear" w:color="auto" w:fill="FFFFFF"/>
        </w:rPr>
        <w:t>“</w:t>
      </w:r>
      <w:r w:rsidRPr="00B80F80">
        <w:rPr>
          <w:sz w:val="20"/>
          <w:szCs w:val="20"/>
          <w:shd w:val="clear" w:color="auto" w:fill="FFFFFF"/>
        </w:rPr>
        <w:t xml:space="preserve">A </w:t>
      </w:r>
      <w:proofErr w:type="spellStart"/>
      <w:r w:rsidRPr="00B80F80">
        <w:rPr>
          <w:sz w:val="20"/>
          <w:szCs w:val="20"/>
          <w:shd w:val="clear" w:color="auto" w:fill="FFFFFF"/>
        </w:rPr>
        <w:t>Fapergs</w:t>
      </w:r>
      <w:proofErr w:type="spellEnd"/>
      <w:r w:rsidRPr="00B80F80">
        <w:rPr>
          <w:sz w:val="20"/>
          <w:szCs w:val="20"/>
          <w:shd w:val="clear" w:color="auto" w:fill="FFFFFF"/>
        </w:rPr>
        <w:t>, Of.015, informa que não foi efetuada uma análise orga</w:t>
      </w:r>
      <w:r>
        <w:rPr>
          <w:sz w:val="20"/>
          <w:szCs w:val="20"/>
          <w:shd w:val="clear" w:color="auto" w:fill="FFFFFF"/>
        </w:rPr>
        <w:t>nizada desse tema. Por que não?</w:t>
      </w:r>
      <w:r w:rsidRPr="00B80F80">
        <w:rPr>
          <w:sz w:val="20"/>
          <w:szCs w:val="20"/>
          <w:shd w:val="clear" w:color="auto" w:fill="FFFFFF"/>
        </w:rPr>
        <w:t xml:space="preserve"> Mas, através de fragmentos dispersos por vários documentos seria possível int</w:t>
      </w:r>
      <w:r>
        <w:rPr>
          <w:sz w:val="20"/>
          <w:szCs w:val="20"/>
          <w:shd w:val="clear" w:color="auto" w:fill="FFFFFF"/>
        </w:rPr>
        <w:t>uir sua opinião. Qual é, mesmo?</w:t>
      </w:r>
      <w:r w:rsidRPr="00B80F80">
        <w:rPr>
          <w:sz w:val="20"/>
          <w:szCs w:val="20"/>
          <w:shd w:val="clear" w:color="auto" w:fill="FFFFFF"/>
        </w:rPr>
        <w:t xml:space="preserve"> Agora, surgiram os Pareceres PGE-RS 14597/06 e 16313/1</w:t>
      </w:r>
      <w:r>
        <w:rPr>
          <w:sz w:val="20"/>
          <w:szCs w:val="20"/>
          <w:shd w:val="clear" w:color="auto" w:fill="FFFFFF"/>
        </w:rPr>
        <w:t>4, que teriam sido usados para ‘</w:t>
      </w:r>
      <w:r w:rsidRPr="00B80F80">
        <w:rPr>
          <w:sz w:val="20"/>
          <w:szCs w:val="20"/>
          <w:shd w:val="clear" w:color="auto" w:fill="FFFFFF"/>
        </w:rPr>
        <w:t xml:space="preserve">fundamentar a </w:t>
      </w:r>
      <w:r>
        <w:rPr>
          <w:sz w:val="20"/>
          <w:szCs w:val="20"/>
          <w:shd w:val="clear" w:color="auto" w:fill="FFFFFF"/>
        </w:rPr>
        <w:t xml:space="preserve">análise realizada’. </w:t>
      </w:r>
      <w:r w:rsidRPr="00B80F80">
        <w:rPr>
          <w:sz w:val="20"/>
          <w:szCs w:val="20"/>
          <w:shd w:val="clear" w:color="auto" w:fill="FFFFFF"/>
        </w:rPr>
        <w:t xml:space="preserve">Ocorre que esses pareceres não haviam sido citados em NENHUM outro momento. Aliás, nem deveriam! Pois se tratam da aplicação da Lei 10098/94, que em NADA se assemelha ao </w:t>
      </w:r>
      <w:proofErr w:type="spellStart"/>
      <w:r w:rsidRPr="00B80F80">
        <w:rPr>
          <w:sz w:val="20"/>
          <w:szCs w:val="20"/>
          <w:shd w:val="clear" w:color="auto" w:fill="FFFFFF"/>
        </w:rPr>
        <w:t>Dec</w:t>
      </w:r>
      <w:proofErr w:type="spellEnd"/>
      <w:r w:rsidRPr="00B80F80">
        <w:rPr>
          <w:sz w:val="20"/>
          <w:szCs w:val="20"/>
          <w:shd w:val="clear" w:color="auto" w:fill="FFFFFF"/>
        </w:rPr>
        <w:t xml:space="preserve"> 52111</w:t>
      </w:r>
      <w:r>
        <w:rPr>
          <w:sz w:val="20"/>
          <w:szCs w:val="20"/>
          <w:shd w:val="clear" w:color="auto" w:fill="FFFFFF"/>
        </w:rPr>
        <w:t xml:space="preserve">/14, objeto desta solicitação. </w:t>
      </w:r>
      <w:r w:rsidRPr="00B80F80">
        <w:rPr>
          <w:sz w:val="20"/>
          <w:szCs w:val="20"/>
          <w:shd w:val="clear" w:color="auto" w:fill="FFFFFF"/>
        </w:rPr>
        <w:t>Assim, segue sem uma resposta DIRETA qual opção representa o que</w:t>
      </w:r>
      <w:r>
        <w:rPr>
          <w:sz w:val="20"/>
          <w:szCs w:val="20"/>
          <w:shd w:val="clear" w:color="auto" w:fill="FFFFFF"/>
        </w:rPr>
        <w:t xml:space="preserve"> está expresso no texto legal: ‘</w:t>
      </w:r>
      <w:r w:rsidRPr="00B80F80">
        <w:rPr>
          <w:sz w:val="20"/>
          <w:szCs w:val="20"/>
          <w:shd w:val="clear" w:color="auto" w:fill="FFFFFF"/>
        </w:rPr>
        <w:t>as promoções de um determinado ano devem iniciar pelo critério inverso daquele em que TERMINOU ou INICIOU o process</w:t>
      </w:r>
      <w:r>
        <w:rPr>
          <w:sz w:val="20"/>
          <w:szCs w:val="20"/>
          <w:shd w:val="clear" w:color="auto" w:fill="FFFFFF"/>
        </w:rPr>
        <w:t xml:space="preserve">o de promoções no ano </w:t>
      </w:r>
      <w:proofErr w:type="gramStart"/>
      <w:r>
        <w:rPr>
          <w:sz w:val="20"/>
          <w:szCs w:val="20"/>
          <w:shd w:val="clear" w:color="auto" w:fill="FFFFFF"/>
        </w:rPr>
        <w:t>anterior?’</w:t>
      </w:r>
      <w:proofErr w:type="gramEnd"/>
      <w:r>
        <w:rPr>
          <w:sz w:val="20"/>
          <w:szCs w:val="20"/>
          <w:shd w:val="clear" w:color="auto" w:fill="FFFFFF"/>
        </w:rPr>
        <w:t xml:space="preserve"> Por quê?</w:t>
      </w:r>
      <w:r w:rsidRPr="00B80F80">
        <w:rPr>
          <w:sz w:val="20"/>
          <w:szCs w:val="20"/>
          <w:shd w:val="clear" w:color="auto" w:fill="FFFFFF"/>
        </w:rPr>
        <w:t xml:space="preserve"> Ou seja, o § 2º, do Art. 3º, do Anexo Único, do DEC 52.111/2014, segue sem uma análise sistemática e e</w:t>
      </w:r>
      <w:r>
        <w:rPr>
          <w:sz w:val="20"/>
          <w:szCs w:val="20"/>
          <w:shd w:val="clear" w:color="auto" w:fill="FFFFFF"/>
        </w:rPr>
        <w:t xml:space="preserve">sta demanda segue sem solução. </w:t>
      </w:r>
      <w:r w:rsidRPr="00B80F80">
        <w:rPr>
          <w:sz w:val="20"/>
          <w:szCs w:val="20"/>
          <w:shd w:val="clear" w:color="auto" w:fill="FFFFFF"/>
        </w:rPr>
        <w:t xml:space="preserve">Haja vista a relevância, e que TODOS os servidores são afetados igualmente, reitero a questão de solicitar à PGE-RS a análise/estudo desta </w:t>
      </w:r>
      <w:proofErr w:type="gramStart"/>
      <w:r w:rsidRPr="00B80F80">
        <w:rPr>
          <w:sz w:val="20"/>
          <w:szCs w:val="20"/>
          <w:shd w:val="clear" w:color="auto" w:fill="FFFFFF"/>
        </w:rPr>
        <w:t>matéria.</w:t>
      </w:r>
      <w:r>
        <w:rPr>
          <w:sz w:val="20"/>
          <w:szCs w:val="20"/>
          <w:shd w:val="clear" w:color="auto" w:fill="FFFFFF"/>
        </w:rPr>
        <w:t>”</w:t>
      </w:r>
      <w:proofErr w:type="gramEnd"/>
    </w:p>
    <w:p w:rsidR="00B80F80" w:rsidRDefault="00B80F80" w:rsidP="00B80F80">
      <w:pPr>
        <w:pStyle w:val="SemEspaamento"/>
        <w:spacing w:line="360" w:lineRule="auto"/>
      </w:pPr>
    </w:p>
    <w:p w:rsidR="003E4285" w:rsidRPr="00B80F80" w:rsidRDefault="003E4285" w:rsidP="003E4285">
      <w:pPr>
        <w:spacing w:line="360" w:lineRule="auto"/>
        <w:ind w:firstLine="1418"/>
      </w:pPr>
      <w:r w:rsidRPr="00B80F80">
        <w:t>Veio o recurso a esta CMRI/RS.</w:t>
      </w:r>
    </w:p>
    <w:p w:rsidR="003E4285" w:rsidRPr="00B80F80" w:rsidRDefault="003E4285" w:rsidP="003E4285">
      <w:pPr>
        <w:spacing w:line="360" w:lineRule="auto"/>
        <w:ind w:firstLine="1418"/>
      </w:pPr>
      <w:r w:rsidRPr="00B80F80">
        <w:t>Após, foi a mim distribuído para julgamento.</w:t>
      </w:r>
    </w:p>
    <w:p w:rsidR="003E4285" w:rsidRDefault="003E4285" w:rsidP="00A21E72">
      <w:pPr>
        <w:spacing w:line="360" w:lineRule="auto"/>
        <w:ind w:firstLine="1418"/>
      </w:pPr>
      <w:r w:rsidRPr="00B80F80">
        <w:t>É o relatório.</w:t>
      </w:r>
    </w:p>
    <w:p w:rsidR="00B80F80" w:rsidRDefault="00B80F80" w:rsidP="00A21E72">
      <w:pPr>
        <w:spacing w:line="360" w:lineRule="auto"/>
        <w:ind w:firstLine="1418"/>
      </w:pPr>
    </w:p>
    <w:p w:rsidR="00B80F80" w:rsidRDefault="00B80F80" w:rsidP="00A21E72">
      <w:pPr>
        <w:spacing w:line="360" w:lineRule="auto"/>
        <w:ind w:firstLine="1418"/>
      </w:pPr>
    </w:p>
    <w:p w:rsidR="00776413" w:rsidRDefault="00776413" w:rsidP="00A21E72">
      <w:pPr>
        <w:spacing w:line="360" w:lineRule="auto"/>
        <w:ind w:firstLine="1418"/>
      </w:pPr>
    </w:p>
    <w:p w:rsidR="00B80F80" w:rsidRPr="00B80F80" w:rsidRDefault="00B80F80" w:rsidP="00A21E72">
      <w:pPr>
        <w:spacing w:line="360" w:lineRule="auto"/>
        <w:ind w:firstLine="1418"/>
      </w:pPr>
    </w:p>
    <w:p w:rsidR="00776413" w:rsidRDefault="00A21E72" w:rsidP="00776413">
      <w:pPr>
        <w:pStyle w:val="TtuloPrincipal"/>
        <w:keepNext w:val="0"/>
        <w:spacing w:before="0" w:after="0"/>
      </w:pPr>
      <w:r w:rsidRPr="00C125D3">
        <w:lastRenderedPageBreak/>
        <w:t>VOTOS</w:t>
      </w:r>
    </w:p>
    <w:p w:rsidR="00776413" w:rsidRPr="00C125D3" w:rsidRDefault="00776413" w:rsidP="00776413">
      <w:pPr>
        <w:pStyle w:val="TtuloPrincipal"/>
        <w:keepNext w:val="0"/>
        <w:spacing w:before="0" w:after="0"/>
      </w:pPr>
    </w:p>
    <w:p w:rsidR="00A21E72" w:rsidRDefault="00A21E72" w:rsidP="00776413">
      <w:pPr>
        <w:pStyle w:val="NomeJulgadorPadro"/>
        <w:spacing w:after="0"/>
        <w:rPr>
          <w:b w:val="0"/>
          <w:caps w:val="0"/>
          <w:u w:val="single"/>
        </w:rPr>
      </w:pPr>
      <w:r>
        <w:rPr>
          <w:u w:val="single"/>
        </w:rPr>
        <w:t>Secretaria da segurança pública</w:t>
      </w:r>
      <w:r w:rsidRPr="00C125D3">
        <w:rPr>
          <w:u w:val="single"/>
        </w:rPr>
        <w:t xml:space="preserve"> (RElATOR)</w:t>
      </w:r>
    </w:p>
    <w:p w:rsidR="00A21E72" w:rsidRPr="00A21E72" w:rsidRDefault="00A21E72" w:rsidP="00A21E72">
      <w:pPr>
        <w:pStyle w:val="NomeJulgadorPadro"/>
        <w:rPr>
          <w:b w:val="0"/>
          <w:caps w:val="0"/>
          <w:u w:val="single"/>
        </w:rPr>
      </w:pPr>
    </w:p>
    <w:p w:rsidR="00776413" w:rsidRPr="00A27116" w:rsidRDefault="00776413" w:rsidP="00776413">
      <w:pPr>
        <w:spacing w:line="360" w:lineRule="auto"/>
        <w:ind w:firstLine="1418"/>
      </w:pPr>
      <w:r w:rsidRPr="00A27116">
        <w:t>Eminentes Colegas.</w:t>
      </w:r>
    </w:p>
    <w:p w:rsidR="00776413" w:rsidRPr="00A27116" w:rsidRDefault="00776413" w:rsidP="00776413">
      <w:pPr>
        <w:spacing w:line="360" w:lineRule="auto"/>
        <w:ind w:firstLine="1418"/>
      </w:pPr>
      <w:r>
        <w:t>T</w:t>
      </w:r>
      <w:r w:rsidRPr="00A27116">
        <w:t>em-se que nitidamente o pedido recursal não traz qualquer insurgência quanto à resposta do pedido de reexame</w:t>
      </w:r>
      <w:r>
        <w:t>, mas sim</w:t>
      </w:r>
      <w:r w:rsidRPr="00A27116">
        <w:t xml:space="preserve"> quanto ao mérito da informação requerida.</w:t>
      </w:r>
      <w:r>
        <w:t xml:space="preserve"> A FAPERGS forneceu documentos que fundamentariam o posicionamento questionado no pedido de acesso pelo recorrente, chegando a complementá-los em sede de reexame.</w:t>
      </w:r>
    </w:p>
    <w:p w:rsidR="00776413" w:rsidRPr="00A27116" w:rsidRDefault="00776413" w:rsidP="00776413">
      <w:pPr>
        <w:spacing w:line="360" w:lineRule="auto"/>
        <w:ind w:firstLine="1418"/>
      </w:pPr>
      <w:r w:rsidRPr="00A27116">
        <w:t xml:space="preserve">Ora, eventual insurgência quanto ao conteúdo da informação fornecida deve se dar pela via adequada (denúncia aos órgãos competentes, p.ex.), e não pela via do recurso à CMRI, cujo objetivo ontológico é o de atacar uma decisão </w:t>
      </w:r>
      <w:r w:rsidRPr="00A27116">
        <w:rPr>
          <w:i/>
        </w:rPr>
        <w:t>contrária</w:t>
      </w:r>
      <w:r w:rsidRPr="00A27116">
        <w:t xml:space="preserve"> ao seu requerimento.</w:t>
      </w:r>
    </w:p>
    <w:p w:rsidR="00776413" w:rsidRPr="00A27116" w:rsidRDefault="00776413" w:rsidP="00776413">
      <w:pPr>
        <w:spacing w:line="360" w:lineRule="auto"/>
        <w:ind w:firstLine="1418"/>
      </w:pPr>
      <w:r w:rsidRPr="00776413">
        <w:t xml:space="preserve">Por óbvio que, se </w:t>
      </w:r>
      <w:r w:rsidRPr="00776413">
        <w:rPr>
          <w:iCs/>
        </w:rPr>
        <w:t>houve</w:t>
      </w:r>
      <w:r w:rsidRPr="00776413">
        <w:t xml:space="preserve"> o fornecimento das informações pleiteadas, mas o cidadão não concorda com o mérito/conteúdo dos atos da Administração, ou tem denúncias a fazer quanto a estes, descabe a esta CMRI a análise, </w:t>
      </w:r>
      <w:proofErr w:type="spellStart"/>
      <w:r w:rsidRPr="00776413">
        <w:t>falecendo-lhe</w:t>
      </w:r>
      <w:proofErr w:type="spellEnd"/>
      <w:r w:rsidRPr="00776413">
        <w:t>, inclusive, competência para tanto</w:t>
      </w:r>
      <w:r w:rsidRPr="00A27116">
        <w:t xml:space="preserve"> (</w:t>
      </w:r>
      <w:proofErr w:type="spellStart"/>
      <w:r w:rsidRPr="00A27116">
        <w:t>arts</w:t>
      </w:r>
      <w:proofErr w:type="spellEnd"/>
      <w:r w:rsidRPr="00A27116">
        <w:t>. 22,</w:t>
      </w:r>
      <w:r>
        <w:t xml:space="preserve"> inciso</w:t>
      </w:r>
      <w:r w:rsidRPr="00A27116">
        <w:t xml:space="preserve"> III, do D</w:t>
      </w:r>
      <w:r>
        <w:t xml:space="preserve">ecreto nº </w:t>
      </w:r>
      <w:r w:rsidRPr="00A27116">
        <w:t>49.111/2012 e 17,</w:t>
      </w:r>
      <w:r>
        <w:t xml:space="preserve"> inciso</w:t>
      </w:r>
      <w:r w:rsidRPr="00A27116">
        <w:t xml:space="preserve"> II, do</w:t>
      </w:r>
      <w:r>
        <w:t xml:space="preserve"> Decreto nº 51.111/2014</w:t>
      </w:r>
      <w:r w:rsidRPr="00A27116">
        <w:t>).</w:t>
      </w:r>
    </w:p>
    <w:p w:rsidR="00776413" w:rsidRDefault="00776413" w:rsidP="00776413">
      <w:pPr>
        <w:spacing w:line="360" w:lineRule="auto"/>
        <w:ind w:firstLine="1418"/>
      </w:pPr>
      <w:r w:rsidRPr="00A27116">
        <w:t>Neste sentido, embasa o presente entendimento a Súmula 03 desta CMRI/RS:</w:t>
      </w:r>
    </w:p>
    <w:p w:rsidR="00776413" w:rsidRPr="00A27116" w:rsidRDefault="00776413" w:rsidP="00776413">
      <w:pPr>
        <w:spacing w:line="360" w:lineRule="auto"/>
        <w:ind w:firstLine="1418"/>
      </w:pPr>
    </w:p>
    <w:p w:rsidR="00776413" w:rsidRPr="00776413" w:rsidRDefault="00776413" w:rsidP="00776413">
      <w:pPr>
        <w:ind w:left="1985"/>
        <w:rPr>
          <w:b/>
          <w:bCs/>
          <w:sz w:val="20"/>
          <w:szCs w:val="20"/>
          <w:shd w:val="clear" w:color="auto" w:fill="FFFFFF"/>
        </w:rPr>
      </w:pPr>
      <w:r w:rsidRPr="00776413">
        <w:rPr>
          <w:bCs/>
          <w:sz w:val="20"/>
          <w:szCs w:val="20"/>
          <w:shd w:val="clear" w:color="auto" w:fill="FFFFFF"/>
        </w:rPr>
        <w:t>“</w:t>
      </w:r>
      <w:r w:rsidRPr="00776413">
        <w:rPr>
          <w:b/>
          <w:bCs/>
          <w:sz w:val="20"/>
          <w:szCs w:val="20"/>
          <w:shd w:val="clear" w:color="auto" w:fill="FFFFFF"/>
        </w:rPr>
        <w:t xml:space="preserve">3 – A mera discordância do interessado quanto ao mérito da informação fornecida ou a solicitação de adoção de outras providências não se enquadra como pedido de acesso à informação, não devendo ser conhecido o recurso por </w:t>
      </w:r>
      <w:proofErr w:type="spellStart"/>
      <w:r w:rsidRPr="00776413">
        <w:rPr>
          <w:b/>
          <w:bCs/>
          <w:sz w:val="20"/>
          <w:szCs w:val="20"/>
          <w:shd w:val="clear" w:color="auto" w:fill="FFFFFF"/>
        </w:rPr>
        <w:t>refugir</w:t>
      </w:r>
      <w:proofErr w:type="spellEnd"/>
      <w:r w:rsidRPr="00776413">
        <w:rPr>
          <w:b/>
          <w:bCs/>
          <w:sz w:val="20"/>
          <w:szCs w:val="20"/>
          <w:shd w:val="clear" w:color="auto" w:fill="FFFFFF"/>
        </w:rPr>
        <w:t xml:space="preserve"> à competência da CMRI/RS. </w:t>
      </w:r>
    </w:p>
    <w:p w:rsidR="00776413" w:rsidRPr="00776413" w:rsidRDefault="00776413" w:rsidP="00776413">
      <w:pPr>
        <w:ind w:left="1985"/>
        <w:rPr>
          <w:bCs/>
          <w:sz w:val="20"/>
          <w:szCs w:val="20"/>
          <w:shd w:val="clear" w:color="auto" w:fill="FFFFFF"/>
        </w:rPr>
      </w:pPr>
      <w:r w:rsidRPr="00776413">
        <w:rPr>
          <w:bCs/>
          <w:sz w:val="20"/>
          <w:szCs w:val="20"/>
          <w:shd w:val="clear" w:color="auto" w:fill="FFFFFF"/>
        </w:rPr>
        <w:t xml:space="preserve">Referência legislativa: </w:t>
      </w:r>
      <w:proofErr w:type="spellStart"/>
      <w:r w:rsidRPr="00776413">
        <w:rPr>
          <w:bCs/>
          <w:sz w:val="20"/>
          <w:szCs w:val="20"/>
          <w:shd w:val="clear" w:color="auto" w:fill="FFFFFF"/>
        </w:rPr>
        <w:t>arts</w:t>
      </w:r>
      <w:proofErr w:type="spellEnd"/>
      <w:r w:rsidRPr="00776413">
        <w:rPr>
          <w:bCs/>
          <w:sz w:val="20"/>
          <w:szCs w:val="20"/>
          <w:shd w:val="clear" w:color="auto" w:fill="FFFFFF"/>
        </w:rPr>
        <w:t>. 22, inc. III, do Decreto Estadual nº 49.111/12 e art. 17, inc. II, do Decreto Estadual nº 51.111/2014.</w:t>
      </w:r>
    </w:p>
    <w:p w:rsidR="00776413" w:rsidRPr="00776413" w:rsidRDefault="00776413" w:rsidP="00776413">
      <w:pPr>
        <w:pBdr>
          <w:bottom w:val="single" w:sz="6" w:space="0" w:color="auto"/>
        </w:pBdr>
        <w:ind w:left="1985"/>
        <w:rPr>
          <w:bCs/>
          <w:sz w:val="20"/>
          <w:szCs w:val="20"/>
          <w:shd w:val="clear" w:color="auto" w:fill="FFFFFF"/>
        </w:rPr>
      </w:pPr>
      <w:r w:rsidRPr="00776413">
        <w:rPr>
          <w:bCs/>
          <w:sz w:val="20"/>
          <w:szCs w:val="20"/>
          <w:shd w:val="clear" w:color="auto" w:fill="FFFFFF"/>
        </w:rPr>
        <w:t xml:space="preserve">Precedentes: Decisões </w:t>
      </w:r>
      <w:proofErr w:type="spellStart"/>
      <w:r w:rsidRPr="00776413">
        <w:rPr>
          <w:bCs/>
          <w:sz w:val="20"/>
          <w:szCs w:val="20"/>
          <w:shd w:val="clear" w:color="auto" w:fill="FFFFFF"/>
        </w:rPr>
        <w:t>nºs</w:t>
      </w:r>
      <w:proofErr w:type="spellEnd"/>
      <w:r w:rsidRPr="00776413">
        <w:rPr>
          <w:bCs/>
          <w:sz w:val="20"/>
          <w:szCs w:val="20"/>
          <w:shd w:val="clear" w:color="auto" w:fill="FFFFFF"/>
        </w:rPr>
        <w:t xml:space="preserve"> 3/15; 5/15; 9/15; 17/15; 18/15; 19/15; 19/17; 23/17; 6/</w:t>
      </w:r>
      <w:proofErr w:type="gramStart"/>
      <w:r w:rsidRPr="00776413">
        <w:rPr>
          <w:bCs/>
          <w:sz w:val="20"/>
          <w:szCs w:val="20"/>
          <w:shd w:val="clear" w:color="auto" w:fill="FFFFFF"/>
        </w:rPr>
        <w:t>18.”</w:t>
      </w:r>
      <w:proofErr w:type="gramEnd"/>
      <w:r w:rsidRPr="00776413">
        <w:rPr>
          <w:bCs/>
          <w:sz w:val="20"/>
          <w:szCs w:val="20"/>
          <w:shd w:val="clear" w:color="auto" w:fill="FFFFFF"/>
        </w:rPr>
        <w:t xml:space="preserve"> </w:t>
      </w:r>
    </w:p>
    <w:p w:rsidR="00776413" w:rsidRPr="00776413" w:rsidRDefault="00776413" w:rsidP="00776413">
      <w:pPr>
        <w:spacing w:line="360" w:lineRule="auto"/>
        <w:ind w:firstLine="1418"/>
      </w:pPr>
    </w:p>
    <w:p w:rsidR="00776413" w:rsidRPr="00776413" w:rsidRDefault="00776413" w:rsidP="00776413">
      <w:pPr>
        <w:spacing w:line="360" w:lineRule="auto"/>
        <w:ind w:firstLine="1418"/>
      </w:pPr>
      <w:r w:rsidRPr="00776413">
        <w:lastRenderedPageBreak/>
        <w:t>O voto, pois, vai no sentido de não conhecer do recurso.</w:t>
      </w:r>
    </w:p>
    <w:p w:rsidR="00776413" w:rsidRPr="00776413" w:rsidRDefault="00776413" w:rsidP="00776413">
      <w:pPr>
        <w:spacing w:line="360" w:lineRule="auto"/>
        <w:ind w:firstLine="1418"/>
      </w:pPr>
    </w:p>
    <w:p w:rsidR="00A21E72" w:rsidRPr="00776413" w:rsidRDefault="00A21E72" w:rsidP="00776413">
      <w:pPr>
        <w:pStyle w:val="PargrafoNormal"/>
        <w:spacing w:after="0"/>
        <w:ind w:firstLine="1440"/>
        <w:rPr>
          <w:bCs/>
        </w:rPr>
      </w:pPr>
      <w:r w:rsidRPr="00776413">
        <w:rPr>
          <w:b/>
        </w:rPr>
        <w:t>Recurso na Demanda nº 31.816</w:t>
      </w:r>
      <w:r w:rsidRPr="00776413">
        <w:rPr>
          <w:bCs/>
        </w:rPr>
        <w:t>: “</w:t>
      </w:r>
      <w:r w:rsidR="008D342B">
        <w:rPr>
          <w:bCs/>
        </w:rPr>
        <w:t>Recurso não conhecido, por unanimidade.”</w:t>
      </w:r>
      <w:bookmarkStart w:id="0" w:name="_GoBack"/>
      <w:bookmarkEnd w:id="0"/>
    </w:p>
    <w:p w:rsidR="00A21E72" w:rsidRPr="003323D3" w:rsidRDefault="00A21E72" w:rsidP="006D0C6A">
      <w:pPr>
        <w:spacing w:line="360" w:lineRule="auto"/>
        <w:ind w:firstLine="1418"/>
      </w:pPr>
    </w:p>
    <w:sectPr w:rsidR="00A21E72" w:rsidRPr="003323D3" w:rsidSect="007F3AE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A9" w:rsidRDefault="00BB58A9" w:rsidP="00324A29">
      <w:r>
        <w:separator/>
      </w:r>
    </w:p>
  </w:endnote>
  <w:endnote w:type="continuationSeparator" w:id="0">
    <w:p w:rsidR="00BB58A9" w:rsidRDefault="00BB58A9" w:rsidP="0032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25" w:rsidRDefault="00A2278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342B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32D25" w:rsidRDefault="00A22785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A9" w:rsidRDefault="00BB58A9" w:rsidP="00324A29">
      <w:r>
        <w:separator/>
      </w:r>
    </w:p>
  </w:footnote>
  <w:footnote w:type="continuationSeparator" w:id="0">
    <w:p w:rsidR="00BB58A9" w:rsidRDefault="00BB58A9" w:rsidP="0032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25" w:rsidRDefault="00A22785" w:rsidP="0063788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0" wp14:anchorId="12043363" wp14:editId="46341C6E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3810" t="1905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D25" w:rsidRPr="00D64380" w:rsidRDefault="00A22785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:rsidR="00E32D25" w:rsidRPr="00D64380" w:rsidRDefault="00A22785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:rsidR="00E32D25" w:rsidRPr="00D64380" w:rsidRDefault="00A22785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43363" id="Group 5" o:spid="_x0000_s1026" style="position:absolute;left:0;text-align:left;margin-left:153.3pt;margin-top:45.15pt;width:269.3pt;height:71.95pt;z-index:25165926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:rsidR="00E32D25" w:rsidRPr="00D64380" w:rsidRDefault="00A22785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:rsidR="00E32D25" w:rsidRPr="00D64380" w:rsidRDefault="00A22785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:rsidR="00E32D25" w:rsidRPr="00D64380" w:rsidRDefault="00A22785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:rsidR="00E32D25" w:rsidRDefault="00BB58A9" w:rsidP="0063788A">
    <w:pPr>
      <w:pStyle w:val="Cabealho"/>
      <w:jc w:val="center"/>
    </w:pPr>
  </w:p>
  <w:p w:rsidR="00E32D25" w:rsidRDefault="00BB58A9" w:rsidP="0063788A">
    <w:pPr>
      <w:pStyle w:val="Cabealho"/>
      <w:jc w:val="center"/>
    </w:pPr>
  </w:p>
  <w:p w:rsidR="00E32D25" w:rsidRDefault="00BB58A9" w:rsidP="0063788A">
    <w:pPr>
      <w:pStyle w:val="Cabealho"/>
      <w:jc w:val="center"/>
    </w:pPr>
  </w:p>
  <w:p w:rsidR="00E32D25" w:rsidRDefault="00BB58A9" w:rsidP="0063788A">
    <w:pPr>
      <w:pStyle w:val="Cabealho"/>
      <w:jc w:val="center"/>
    </w:pPr>
  </w:p>
  <w:p w:rsidR="0063788A" w:rsidRDefault="00BB58A9" w:rsidP="003F27EE">
    <w:pPr>
      <w:pStyle w:val="Cabealho"/>
    </w:pPr>
  </w:p>
  <w:p w:rsidR="00A856EA" w:rsidRPr="0006090D" w:rsidRDefault="00BB58A9" w:rsidP="003F27EE">
    <w:pPr>
      <w:pStyle w:val="Cabealho"/>
    </w:pPr>
  </w:p>
  <w:p w:rsidR="003F27EE" w:rsidRPr="0006090D" w:rsidRDefault="003323D3" w:rsidP="003F27EE">
    <w:pPr>
      <w:pStyle w:val="Cabealho"/>
    </w:pPr>
    <w:r>
      <w:t>ssp</w:t>
    </w:r>
  </w:p>
  <w:p w:rsidR="0063788A" w:rsidRPr="0006090D" w:rsidRDefault="003323D3" w:rsidP="003F27EE">
    <w:pPr>
      <w:pStyle w:val="Cabealho"/>
    </w:pPr>
    <w:r>
      <w:t>decisão Nº 01/2022</w:t>
    </w:r>
  </w:p>
  <w:p w:rsidR="00841D5C" w:rsidRPr="0006090D" w:rsidRDefault="003323D3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2022/fapergs</w:t>
    </w:r>
    <w:r w:rsidR="00A22785" w:rsidRPr="0006090D">
      <w:tab/>
    </w:r>
  </w:p>
  <w:p w:rsidR="00E32D25" w:rsidRDefault="00BB58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22F"/>
    <w:multiLevelType w:val="hybridMultilevel"/>
    <w:tmpl w:val="73EE07E8"/>
    <w:lvl w:ilvl="0" w:tplc="8A7EA6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1C20240"/>
    <w:multiLevelType w:val="multilevel"/>
    <w:tmpl w:val="FD02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B6401"/>
    <w:multiLevelType w:val="multilevel"/>
    <w:tmpl w:val="685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D2250"/>
    <w:multiLevelType w:val="hybridMultilevel"/>
    <w:tmpl w:val="E3501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9"/>
    <w:rsid w:val="000A1F9F"/>
    <w:rsid w:val="000E387A"/>
    <w:rsid w:val="000F13A3"/>
    <w:rsid w:val="002B75F2"/>
    <w:rsid w:val="00324A29"/>
    <w:rsid w:val="003323D3"/>
    <w:rsid w:val="0033259B"/>
    <w:rsid w:val="003E4285"/>
    <w:rsid w:val="005030F6"/>
    <w:rsid w:val="00577840"/>
    <w:rsid w:val="00587257"/>
    <w:rsid w:val="005E2A20"/>
    <w:rsid w:val="00645112"/>
    <w:rsid w:val="006A45DC"/>
    <w:rsid w:val="006D0C6A"/>
    <w:rsid w:val="00776413"/>
    <w:rsid w:val="007843B0"/>
    <w:rsid w:val="008235C5"/>
    <w:rsid w:val="0085758F"/>
    <w:rsid w:val="008D342B"/>
    <w:rsid w:val="009027AF"/>
    <w:rsid w:val="00A21E72"/>
    <w:rsid w:val="00A22785"/>
    <w:rsid w:val="00B108C0"/>
    <w:rsid w:val="00B25E0B"/>
    <w:rsid w:val="00B80F80"/>
    <w:rsid w:val="00BB58A9"/>
    <w:rsid w:val="00C21B60"/>
    <w:rsid w:val="00C72683"/>
    <w:rsid w:val="00D05F20"/>
    <w:rsid w:val="00D925D6"/>
    <w:rsid w:val="00E566B5"/>
    <w:rsid w:val="00E76B17"/>
    <w:rsid w:val="00F115C0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A69E"/>
  <w15:chartTrackingRefBased/>
  <w15:docId w15:val="{AB117660-C35F-4F5F-874E-B480F5B8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2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4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4A29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324A29"/>
    <w:rPr>
      <w:rFonts w:ascii="Arial" w:eastAsia="Times New Roman" w:hAnsi="Arial" w:cs="Arial"/>
      <w:caps/>
      <w:lang w:eastAsia="pt-BR"/>
    </w:rPr>
  </w:style>
  <w:style w:type="paragraph" w:customStyle="1" w:styleId="DadosCadastrais">
    <w:name w:val="Dados Cadastrais"/>
    <w:basedOn w:val="Normal"/>
    <w:rsid w:val="00324A29"/>
    <w:pPr>
      <w:tabs>
        <w:tab w:val="right" w:pos="8505"/>
      </w:tabs>
    </w:pPr>
    <w:rPr>
      <w:caps/>
    </w:rPr>
  </w:style>
  <w:style w:type="paragraph" w:styleId="Rodap">
    <w:name w:val="footer"/>
    <w:basedOn w:val="Normal"/>
    <w:link w:val="RodapChar"/>
    <w:rsid w:val="00324A29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rsid w:val="00324A29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tuloPrincipal">
    <w:name w:val="Título Principal"/>
    <w:basedOn w:val="Ttulo1"/>
    <w:rsid w:val="00324A29"/>
    <w:pPr>
      <w:keepLines w:val="0"/>
      <w:spacing w:after="60" w:line="360" w:lineRule="auto"/>
      <w:jc w:val="center"/>
    </w:pPr>
    <w:rPr>
      <w:rFonts w:ascii="Arial" w:eastAsia="Times New Roman" w:hAnsi="Arial" w:cs="Arial"/>
      <w:b/>
      <w:bCs/>
      <w:color w:val="auto"/>
      <w:spacing w:val="60"/>
      <w:w w:val="150"/>
      <w:sz w:val="28"/>
      <w:szCs w:val="28"/>
    </w:rPr>
  </w:style>
  <w:style w:type="character" w:styleId="Nmerodepgina">
    <w:name w:val="page number"/>
    <w:basedOn w:val="Fontepargpadro"/>
    <w:rsid w:val="00324A29"/>
  </w:style>
  <w:style w:type="paragraph" w:customStyle="1" w:styleId="PargrafoNormal">
    <w:name w:val="Parágrafo Normal"/>
    <w:basedOn w:val="Normal"/>
    <w:rsid w:val="00324A29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324A29"/>
    <w:pPr>
      <w:spacing w:after="60" w:line="360" w:lineRule="auto"/>
    </w:pPr>
    <w:rPr>
      <w:b/>
      <w:bCs/>
      <w:caps/>
    </w:rPr>
  </w:style>
  <w:style w:type="paragraph" w:styleId="PargrafodaLista">
    <w:name w:val="List Paragraph"/>
    <w:basedOn w:val="Normal"/>
    <w:uiPriority w:val="34"/>
    <w:qFormat/>
    <w:rsid w:val="00324A29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324A29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4A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4A29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4A2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24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8235C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8235C5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8235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235C5"/>
    <w:rPr>
      <w:rFonts w:ascii="Arial" w:eastAsia="Times New Roman" w:hAnsi="Arial" w:cs="Arial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DAB7-5E44-42F0-AB89-7266E630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Uberti Moreira</dc:creator>
  <cp:keywords/>
  <dc:description/>
  <cp:lastModifiedBy>Leoni</cp:lastModifiedBy>
  <cp:revision>3</cp:revision>
  <dcterms:created xsi:type="dcterms:W3CDTF">2022-04-22T18:49:00Z</dcterms:created>
  <dcterms:modified xsi:type="dcterms:W3CDTF">2022-05-03T19:01:00Z</dcterms:modified>
</cp:coreProperties>
</file>