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30B2" w14:textId="2133915B" w:rsidR="00C925C6" w:rsidRPr="00F5283C" w:rsidRDefault="00CE49D1" w:rsidP="00C925C6">
      <w:pPr>
        <w:ind w:left="2835"/>
        <w:rPr>
          <w:color w:val="auto"/>
          <w:sz w:val="22"/>
          <w:szCs w:val="22"/>
        </w:rPr>
      </w:pPr>
      <w:r w:rsidRPr="00CE49D1">
        <w:rPr>
          <w:b/>
          <w:color w:val="auto"/>
          <w:sz w:val="22"/>
          <w:szCs w:val="22"/>
        </w:rPr>
        <w:t>SECRETARIA DA SEGURANÇA PÚBLICA</w:t>
      </w:r>
      <w:r w:rsidR="00F5283C" w:rsidRPr="00CE49D1">
        <w:rPr>
          <w:b/>
          <w:color w:val="auto"/>
          <w:sz w:val="22"/>
          <w:szCs w:val="22"/>
        </w:rPr>
        <w:t xml:space="preserve">. </w:t>
      </w:r>
      <w:r w:rsidR="00D62076" w:rsidRPr="00CE49D1">
        <w:rPr>
          <w:b/>
          <w:color w:val="auto"/>
          <w:sz w:val="22"/>
          <w:szCs w:val="22"/>
        </w:rPr>
        <w:t>ANÁLISE</w:t>
      </w:r>
      <w:r w:rsidR="00F5283C" w:rsidRPr="00CE49D1">
        <w:rPr>
          <w:b/>
          <w:color w:val="auto"/>
          <w:sz w:val="22"/>
          <w:szCs w:val="22"/>
        </w:rPr>
        <w:t xml:space="preserve"> DE </w:t>
      </w:r>
      <w:r w:rsidR="00D62076" w:rsidRPr="00CE49D1">
        <w:rPr>
          <w:b/>
          <w:color w:val="auto"/>
          <w:sz w:val="22"/>
          <w:szCs w:val="22"/>
        </w:rPr>
        <w:t>04</w:t>
      </w:r>
      <w:r w:rsidR="005716D1" w:rsidRPr="00CE49D1">
        <w:rPr>
          <w:b/>
          <w:color w:val="auto"/>
          <w:sz w:val="22"/>
          <w:szCs w:val="22"/>
        </w:rPr>
        <w:t xml:space="preserve"> </w:t>
      </w:r>
      <w:r w:rsidR="00F5283C" w:rsidRPr="00CE49D1">
        <w:rPr>
          <w:b/>
          <w:color w:val="auto"/>
          <w:sz w:val="22"/>
          <w:szCs w:val="22"/>
        </w:rPr>
        <w:t>TERMO</w:t>
      </w:r>
      <w:r w:rsidR="00A26561" w:rsidRPr="00CE49D1">
        <w:rPr>
          <w:b/>
          <w:color w:val="auto"/>
          <w:sz w:val="22"/>
          <w:szCs w:val="22"/>
        </w:rPr>
        <w:t>S</w:t>
      </w:r>
      <w:r w:rsidR="00F5283C" w:rsidRPr="00CE49D1">
        <w:rPr>
          <w:b/>
          <w:color w:val="auto"/>
          <w:sz w:val="22"/>
          <w:szCs w:val="22"/>
        </w:rPr>
        <w:t xml:space="preserve"> DE CLASSIFICAÇÃO DE INFORMAÇ</w:t>
      </w:r>
      <w:r w:rsidR="002D0DD0" w:rsidRPr="00CE49D1">
        <w:rPr>
          <w:b/>
          <w:color w:val="auto"/>
          <w:sz w:val="22"/>
          <w:szCs w:val="22"/>
        </w:rPr>
        <w:t>ÃO</w:t>
      </w:r>
      <w:r w:rsidR="00F5283C" w:rsidRPr="00CE49D1">
        <w:rPr>
          <w:b/>
          <w:color w:val="auto"/>
          <w:sz w:val="22"/>
          <w:szCs w:val="22"/>
        </w:rPr>
        <w:t xml:space="preserve"> EM GRAU DE SIGILO - </w:t>
      </w:r>
      <w:proofErr w:type="spellStart"/>
      <w:r w:rsidR="00F5283C" w:rsidRPr="00CE49D1">
        <w:rPr>
          <w:b/>
          <w:color w:val="auto"/>
          <w:sz w:val="22"/>
          <w:szCs w:val="22"/>
        </w:rPr>
        <w:t>TCI</w:t>
      </w:r>
      <w:r w:rsidR="00CE51B2" w:rsidRPr="00CE49D1">
        <w:rPr>
          <w:b/>
          <w:color w:val="auto"/>
          <w:sz w:val="22"/>
          <w:szCs w:val="22"/>
        </w:rPr>
        <w:t>s</w:t>
      </w:r>
      <w:proofErr w:type="spellEnd"/>
      <w:r w:rsidR="00F5283C" w:rsidRPr="00CE49D1">
        <w:rPr>
          <w:b/>
          <w:color w:val="auto"/>
          <w:sz w:val="22"/>
          <w:szCs w:val="22"/>
        </w:rPr>
        <w:t xml:space="preserve">. DECRETO ESTADUAL Nº 53.164/2016. </w:t>
      </w:r>
      <w:r w:rsidR="00D62076" w:rsidRPr="00CE49D1">
        <w:rPr>
          <w:b/>
          <w:color w:val="auto"/>
          <w:sz w:val="22"/>
          <w:szCs w:val="22"/>
        </w:rPr>
        <w:t xml:space="preserve">RETORNO DE </w:t>
      </w:r>
      <w:r w:rsidR="001B7D0C" w:rsidRPr="00CE49D1">
        <w:rPr>
          <w:b/>
          <w:color w:val="auto"/>
          <w:sz w:val="22"/>
          <w:szCs w:val="22"/>
        </w:rPr>
        <w:t>PEDIDO DE ESCLARECIMENTOS EM 0</w:t>
      </w:r>
      <w:r w:rsidR="00D62076" w:rsidRPr="00CE49D1">
        <w:rPr>
          <w:b/>
          <w:color w:val="auto"/>
          <w:sz w:val="22"/>
          <w:szCs w:val="22"/>
        </w:rPr>
        <w:t>2</w:t>
      </w:r>
      <w:r w:rsidR="001B7D0C" w:rsidRPr="00CE49D1">
        <w:rPr>
          <w:b/>
          <w:color w:val="auto"/>
          <w:sz w:val="22"/>
          <w:szCs w:val="22"/>
        </w:rPr>
        <w:t xml:space="preserve"> TCIS. </w:t>
      </w:r>
      <w:r w:rsidR="002D0DD0" w:rsidRPr="00CE49D1">
        <w:rPr>
          <w:b/>
          <w:color w:val="auto"/>
          <w:sz w:val="22"/>
          <w:szCs w:val="22"/>
        </w:rPr>
        <w:t>REGULARIDADE</w:t>
      </w:r>
      <w:r w:rsidR="00F5283C" w:rsidRPr="00CE49D1">
        <w:rPr>
          <w:b/>
          <w:color w:val="auto"/>
          <w:sz w:val="22"/>
          <w:szCs w:val="22"/>
        </w:rPr>
        <w:t xml:space="preserve"> D</w:t>
      </w:r>
      <w:r w:rsidR="002D0DD0" w:rsidRPr="00CE49D1">
        <w:rPr>
          <w:b/>
          <w:color w:val="auto"/>
          <w:sz w:val="22"/>
          <w:szCs w:val="22"/>
        </w:rPr>
        <w:t>A</w:t>
      </w:r>
      <w:r w:rsidR="00F5283C" w:rsidRPr="00CE49D1">
        <w:rPr>
          <w:b/>
          <w:color w:val="auto"/>
          <w:sz w:val="22"/>
          <w:szCs w:val="22"/>
        </w:rPr>
        <w:t xml:space="preserve"> CLASSIFICAÇÃO. </w:t>
      </w:r>
      <w:r w:rsidR="0084527E" w:rsidRPr="00CE49D1">
        <w:rPr>
          <w:b/>
          <w:color w:val="auto"/>
          <w:sz w:val="22"/>
          <w:szCs w:val="22"/>
        </w:rPr>
        <w:t xml:space="preserve">INFORMAÇÕES </w:t>
      </w:r>
      <w:r w:rsidR="004B4B06" w:rsidRPr="00CE49D1">
        <w:rPr>
          <w:b/>
          <w:color w:val="auto"/>
          <w:sz w:val="22"/>
          <w:szCs w:val="22"/>
        </w:rPr>
        <w:t>QUE CONTÊ</w:t>
      </w:r>
      <w:r w:rsidR="002D0DD0" w:rsidRPr="00CE49D1">
        <w:rPr>
          <w:b/>
          <w:color w:val="auto"/>
          <w:sz w:val="22"/>
          <w:szCs w:val="22"/>
        </w:rPr>
        <w:t>M CONTEÚDO SENSÍVEL</w:t>
      </w:r>
      <w:r w:rsidR="00F5283C" w:rsidRPr="00CE49D1">
        <w:rPr>
          <w:b/>
          <w:color w:val="auto"/>
          <w:sz w:val="22"/>
          <w:szCs w:val="22"/>
        </w:rPr>
        <w:t xml:space="preserve">. </w:t>
      </w:r>
      <w:r w:rsidR="002D0DD0" w:rsidRPr="00CE49D1">
        <w:rPr>
          <w:b/>
          <w:color w:val="auto"/>
          <w:sz w:val="22"/>
          <w:szCs w:val="22"/>
        </w:rPr>
        <w:t>Justificada</w:t>
      </w:r>
      <w:r w:rsidR="00B65ED1" w:rsidRPr="00CE49D1">
        <w:rPr>
          <w:b/>
          <w:color w:val="auto"/>
          <w:sz w:val="22"/>
          <w:szCs w:val="22"/>
        </w:rPr>
        <w:t xml:space="preserve"> </w:t>
      </w:r>
      <w:r w:rsidR="00B65ED1" w:rsidRPr="00B65ED1">
        <w:rPr>
          <w:b/>
          <w:color w:val="auto"/>
          <w:sz w:val="22"/>
          <w:szCs w:val="22"/>
        </w:rPr>
        <w:t>a classificação de informações que se enquadrem</w:t>
      </w:r>
      <w:r w:rsidR="002D0DD0">
        <w:rPr>
          <w:b/>
          <w:color w:val="auto"/>
          <w:sz w:val="22"/>
          <w:szCs w:val="22"/>
        </w:rPr>
        <w:t xml:space="preserve"> nas hipóteses do art. 23 </w:t>
      </w:r>
      <w:r w:rsidR="00C925C6">
        <w:rPr>
          <w:b/>
          <w:color w:val="auto"/>
          <w:sz w:val="22"/>
          <w:szCs w:val="22"/>
        </w:rPr>
        <w:t xml:space="preserve">e seus </w:t>
      </w:r>
      <w:r w:rsidR="002D0DD0">
        <w:rPr>
          <w:b/>
          <w:color w:val="auto"/>
          <w:sz w:val="22"/>
          <w:szCs w:val="22"/>
        </w:rPr>
        <w:t>incisos da Lei nº 12.527/2011</w:t>
      </w:r>
      <w:r w:rsidR="00B65ED1" w:rsidRPr="00B65ED1">
        <w:rPr>
          <w:b/>
          <w:color w:val="auto"/>
          <w:sz w:val="22"/>
          <w:szCs w:val="22"/>
        </w:rPr>
        <w:t>.</w:t>
      </w:r>
      <w:r w:rsidR="00B65ED1">
        <w:rPr>
          <w:b/>
          <w:color w:val="auto"/>
          <w:sz w:val="22"/>
          <w:szCs w:val="22"/>
        </w:rPr>
        <w:t xml:space="preserve"> </w:t>
      </w:r>
      <w:r w:rsidR="002D0DD0">
        <w:rPr>
          <w:b/>
          <w:color w:val="auto"/>
          <w:sz w:val="22"/>
          <w:szCs w:val="22"/>
        </w:rPr>
        <w:t>MANUTENÇÃO DA</w:t>
      </w:r>
      <w:r w:rsidR="00A26561">
        <w:rPr>
          <w:b/>
          <w:color w:val="auto"/>
          <w:sz w:val="22"/>
          <w:szCs w:val="22"/>
        </w:rPr>
        <w:t>S</w:t>
      </w:r>
      <w:r w:rsidR="002D0DD0">
        <w:rPr>
          <w:b/>
          <w:color w:val="auto"/>
          <w:sz w:val="22"/>
          <w:szCs w:val="22"/>
        </w:rPr>
        <w:t xml:space="preserve"> </w:t>
      </w:r>
      <w:r w:rsidR="00F5283C">
        <w:rPr>
          <w:b/>
          <w:color w:val="auto"/>
          <w:sz w:val="22"/>
          <w:szCs w:val="22"/>
        </w:rPr>
        <w:t>CLASSIFICAÇ</w:t>
      </w:r>
      <w:r w:rsidR="00A26561">
        <w:rPr>
          <w:b/>
          <w:color w:val="auto"/>
          <w:sz w:val="22"/>
          <w:szCs w:val="22"/>
        </w:rPr>
        <w:t>ÕES</w:t>
      </w:r>
      <w:r w:rsidR="00F5283C">
        <w:rPr>
          <w:b/>
          <w:color w:val="auto"/>
          <w:sz w:val="22"/>
          <w:szCs w:val="22"/>
        </w:rPr>
        <w:t xml:space="preserve"> DAS INFORMAÇÕES</w:t>
      </w:r>
      <w:r w:rsidR="005716D1">
        <w:rPr>
          <w:b/>
          <w:color w:val="auto"/>
          <w:sz w:val="22"/>
          <w:szCs w:val="22"/>
        </w:rPr>
        <w:t xml:space="preserve"> </w:t>
      </w:r>
      <w:r w:rsidR="00D62076">
        <w:rPr>
          <w:b/>
          <w:color w:val="auto"/>
          <w:sz w:val="22"/>
          <w:szCs w:val="22"/>
        </w:rPr>
        <w:t>NOS</w:t>
      </w:r>
      <w:r w:rsidR="005716D1">
        <w:rPr>
          <w:b/>
          <w:color w:val="auto"/>
          <w:sz w:val="22"/>
          <w:szCs w:val="22"/>
        </w:rPr>
        <w:t xml:space="preserve"> </w:t>
      </w:r>
      <w:r w:rsidR="00D62076">
        <w:rPr>
          <w:b/>
          <w:color w:val="auto"/>
          <w:sz w:val="22"/>
          <w:szCs w:val="22"/>
        </w:rPr>
        <w:t>04</w:t>
      </w:r>
      <w:r>
        <w:rPr>
          <w:b/>
          <w:color w:val="auto"/>
          <w:sz w:val="22"/>
          <w:szCs w:val="22"/>
        </w:rPr>
        <w:t xml:space="preserve"> </w:t>
      </w:r>
      <w:proofErr w:type="spellStart"/>
      <w:r>
        <w:rPr>
          <w:b/>
          <w:color w:val="auto"/>
          <w:sz w:val="22"/>
          <w:szCs w:val="22"/>
        </w:rPr>
        <w:t>TCIs</w:t>
      </w:r>
      <w:proofErr w:type="spellEnd"/>
      <w:r w:rsidR="00F5283C">
        <w:rPr>
          <w:b/>
          <w:color w:val="auto"/>
          <w:sz w:val="22"/>
          <w:szCs w:val="22"/>
        </w:rPr>
        <w:t>.</w:t>
      </w:r>
    </w:p>
    <w:p w14:paraId="79F3B2D1" w14:textId="7067F022" w:rsidR="00F5283C" w:rsidRPr="001C63BE" w:rsidRDefault="00F22ECA" w:rsidP="00F5283C">
      <w:pPr>
        <w:ind w:left="2835"/>
        <w:rPr>
          <w:color w:val="auto"/>
          <w:sz w:val="22"/>
          <w:szCs w:val="22"/>
        </w:rPr>
      </w:pPr>
      <w:r>
        <w:rPr>
          <w:b/>
          <w:color w:val="auto"/>
          <w:sz w:val="22"/>
          <w:szCs w:val="22"/>
        </w:rPr>
        <w:t xml:space="preserve"> </w:t>
      </w:r>
    </w:p>
    <w:p w14:paraId="151FF4DD" w14:textId="77777777" w:rsidR="00A531EB" w:rsidRDefault="00A531EB" w:rsidP="00A531EB"/>
    <w:p w14:paraId="06017C5C" w14:textId="77777777" w:rsidR="00A531EB" w:rsidRPr="00033B6B" w:rsidRDefault="00A531EB" w:rsidP="00A531EB">
      <w:pPr>
        <w:pStyle w:val="TtuloPrincipal"/>
        <w:rPr>
          <w:color w:val="auto"/>
        </w:rPr>
      </w:pPr>
      <w:r w:rsidRPr="00033B6B">
        <w:rPr>
          <w:color w:val="auto"/>
        </w:rPr>
        <w:t>DECISÃO</w:t>
      </w:r>
    </w:p>
    <w:p w14:paraId="020C8023" w14:textId="777C9194" w:rsidR="00F5283C" w:rsidRPr="00033B6B" w:rsidRDefault="00193E95" w:rsidP="007B4E46">
      <w:pPr>
        <w:pStyle w:val="PargrafoNormal"/>
        <w:spacing w:after="0"/>
        <w:ind w:firstLine="1134"/>
        <w:rPr>
          <w:color w:val="auto"/>
          <w:sz w:val="22"/>
          <w:szCs w:val="22"/>
        </w:rPr>
      </w:pPr>
      <w:r w:rsidRPr="00033B6B">
        <w:rPr>
          <w:color w:val="auto"/>
          <w:sz w:val="22"/>
          <w:szCs w:val="22"/>
        </w:rPr>
        <w:t xml:space="preserve">Visto, relatado e discutido o encaminhamento realizado pela </w:t>
      </w:r>
      <w:r w:rsidR="00CE49D1" w:rsidRPr="00033B6B">
        <w:rPr>
          <w:color w:val="auto"/>
          <w:sz w:val="22"/>
          <w:szCs w:val="22"/>
        </w:rPr>
        <w:t>Secretaria da Segurança Pública</w:t>
      </w:r>
      <w:r w:rsidR="00CA08BF" w:rsidRPr="00033B6B">
        <w:rPr>
          <w:color w:val="auto"/>
          <w:sz w:val="22"/>
          <w:szCs w:val="22"/>
        </w:rPr>
        <w:t>,</w:t>
      </w:r>
      <w:r w:rsidRPr="00033B6B">
        <w:rPr>
          <w:color w:val="auto"/>
          <w:sz w:val="22"/>
          <w:szCs w:val="22"/>
        </w:rPr>
        <w:t xml:space="preserve"> com base no Decreto Estadual nº 53.164/2016.</w:t>
      </w:r>
    </w:p>
    <w:p w14:paraId="349C605C" w14:textId="50A708D5" w:rsidR="00056CC3" w:rsidRPr="00033B6B" w:rsidRDefault="00A531EB" w:rsidP="007B4E46">
      <w:pPr>
        <w:pStyle w:val="PargrafoNormal"/>
        <w:spacing w:after="0"/>
        <w:ind w:firstLine="1134"/>
        <w:rPr>
          <w:color w:val="auto"/>
          <w:sz w:val="22"/>
          <w:szCs w:val="22"/>
        </w:rPr>
      </w:pPr>
      <w:r w:rsidRPr="00033B6B">
        <w:rPr>
          <w:color w:val="auto"/>
          <w:sz w:val="22"/>
          <w:szCs w:val="22"/>
        </w:rPr>
        <w:t xml:space="preserve">Acordam os integrantes da Comissão Mista de Reavaliação de Informações – CMRI/RS, por </w:t>
      </w:r>
      <w:r w:rsidR="00540444" w:rsidRPr="00033B6B">
        <w:rPr>
          <w:color w:val="auto"/>
          <w:sz w:val="22"/>
          <w:szCs w:val="22"/>
        </w:rPr>
        <w:t>unanimidade</w:t>
      </w:r>
      <w:r w:rsidRPr="00033B6B">
        <w:rPr>
          <w:color w:val="auto"/>
          <w:sz w:val="22"/>
          <w:szCs w:val="22"/>
        </w:rPr>
        <w:t xml:space="preserve">, em </w:t>
      </w:r>
      <w:r w:rsidR="00CC3DBA" w:rsidRPr="00033B6B">
        <w:rPr>
          <w:color w:val="auto"/>
          <w:sz w:val="22"/>
          <w:szCs w:val="22"/>
        </w:rPr>
        <w:t>MANTER</w:t>
      </w:r>
      <w:r w:rsidR="00193E95" w:rsidRPr="00033B6B">
        <w:rPr>
          <w:color w:val="auto"/>
          <w:sz w:val="22"/>
          <w:szCs w:val="22"/>
        </w:rPr>
        <w:t xml:space="preserve"> </w:t>
      </w:r>
      <w:r w:rsidR="00CC3DBA" w:rsidRPr="00033B6B">
        <w:rPr>
          <w:color w:val="auto"/>
          <w:sz w:val="22"/>
          <w:szCs w:val="22"/>
        </w:rPr>
        <w:t>a</w:t>
      </w:r>
      <w:r w:rsidR="00193E95" w:rsidRPr="00033B6B">
        <w:rPr>
          <w:color w:val="auto"/>
          <w:sz w:val="22"/>
          <w:szCs w:val="22"/>
        </w:rPr>
        <w:t xml:space="preserve"> classifica</w:t>
      </w:r>
      <w:r w:rsidR="00CC3DBA" w:rsidRPr="00033B6B">
        <w:rPr>
          <w:color w:val="auto"/>
          <w:sz w:val="22"/>
          <w:szCs w:val="22"/>
        </w:rPr>
        <w:t>ção</w:t>
      </w:r>
      <w:r w:rsidR="00193E95" w:rsidRPr="00033B6B">
        <w:rPr>
          <w:color w:val="auto"/>
          <w:sz w:val="22"/>
          <w:szCs w:val="22"/>
        </w:rPr>
        <w:t xml:space="preserve"> em grau de sigilo </w:t>
      </w:r>
      <w:r w:rsidR="00CC3DBA" w:rsidRPr="00033B6B">
        <w:rPr>
          <w:color w:val="auto"/>
          <w:sz w:val="22"/>
          <w:szCs w:val="22"/>
        </w:rPr>
        <w:t xml:space="preserve">realizada </w:t>
      </w:r>
      <w:r w:rsidR="00193E95" w:rsidRPr="00033B6B">
        <w:rPr>
          <w:color w:val="auto"/>
          <w:sz w:val="22"/>
          <w:szCs w:val="22"/>
        </w:rPr>
        <w:t>pel</w:t>
      </w:r>
      <w:r w:rsidR="00CC3DBA" w:rsidRPr="00033B6B">
        <w:rPr>
          <w:color w:val="auto"/>
          <w:sz w:val="22"/>
          <w:szCs w:val="22"/>
        </w:rPr>
        <w:t>o</w:t>
      </w:r>
      <w:r w:rsidR="00193E95" w:rsidRPr="00033B6B">
        <w:rPr>
          <w:color w:val="auto"/>
          <w:sz w:val="22"/>
          <w:szCs w:val="22"/>
        </w:rPr>
        <w:t xml:space="preserve"> </w:t>
      </w:r>
      <w:r w:rsidR="00CC3DBA" w:rsidRPr="00033B6B">
        <w:rPr>
          <w:color w:val="auto"/>
          <w:sz w:val="22"/>
          <w:szCs w:val="22"/>
        </w:rPr>
        <w:t>órgão</w:t>
      </w:r>
      <w:r w:rsidR="00C925C6" w:rsidRPr="00033B6B">
        <w:rPr>
          <w:color w:val="auto"/>
          <w:sz w:val="22"/>
          <w:szCs w:val="22"/>
        </w:rPr>
        <w:t xml:space="preserve"> </w:t>
      </w:r>
      <w:r w:rsidR="00263020" w:rsidRPr="00033B6B">
        <w:rPr>
          <w:color w:val="auto"/>
          <w:sz w:val="22"/>
          <w:szCs w:val="22"/>
        </w:rPr>
        <w:t>d</w:t>
      </w:r>
      <w:r w:rsidR="00C925C6" w:rsidRPr="00033B6B">
        <w:rPr>
          <w:color w:val="auto"/>
          <w:sz w:val="22"/>
          <w:szCs w:val="22"/>
        </w:rPr>
        <w:t xml:space="preserve">e </w:t>
      </w:r>
      <w:r w:rsidR="00AE1642" w:rsidRPr="00033B6B">
        <w:rPr>
          <w:color w:val="auto"/>
          <w:sz w:val="22"/>
          <w:szCs w:val="22"/>
        </w:rPr>
        <w:t>04</w:t>
      </w:r>
      <w:r w:rsidR="00C925C6" w:rsidRPr="00033B6B">
        <w:rPr>
          <w:color w:val="auto"/>
          <w:sz w:val="22"/>
          <w:szCs w:val="22"/>
        </w:rPr>
        <w:t xml:space="preserve"> </w:t>
      </w:r>
      <w:proofErr w:type="spellStart"/>
      <w:r w:rsidR="00C925C6" w:rsidRPr="00033B6B">
        <w:rPr>
          <w:color w:val="auto"/>
          <w:sz w:val="22"/>
          <w:szCs w:val="22"/>
        </w:rPr>
        <w:t>TCIs</w:t>
      </w:r>
      <w:proofErr w:type="spellEnd"/>
      <w:r w:rsidR="00C17E51" w:rsidRPr="00033B6B">
        <w:rPr>
          <w:color w:val="auto"/>
          <w:sz w:val="22"/>
          <w:szCs w:val="22"/>
        </w:rPr>
        <w:t>.</w:t>
      </w:r>
    </w:p>
    <w:p w14:paraId="4711075F" w14:textId="5571BBB2" w:rsidR="00335BC1" w:rsidRPr="00033B6B" w:rsidRDefault="0020154A" w:rsidP="007B4E46">
      <w:pPr>
        <w:pStyle w:val="PargrafoNormal"/>
        <w:spacing w:after="0"/>
        <w:ind w:firstLine="1134"/>
        <w:rPr>
          <w:color w:val="auto"/>
          <w:sz w:val="22"/>
          <w:szCs w:val="22"/>
        </w:rPr>
      </w:pPr>
      <w:r w:rsidRPr="00033B6B">
        <w:rPr>
          <w:color w:val="auto"/>
          <w:sz w:val="22"/>
          <w:szCs w:val="22"/>
        </w:rPr>
        <w:t xml:space="preserve">Participaram do julgamento, além do signatário, os representantes da Subchefia de Ética, Controle Público e Transparência da Secretaria da Casa Civil/RS; da Secretaria de Planejamento, Governança e Gestão; da Secretaria da Educação; da Secretaria da Saúde; da Secretaria da Fazenda/Contadoria e Auditoria-Geral do Estado; </w:t>
      </w:r>
      <w:r w:rsidR="00CE49D1" w:rsidRPr="00033B6B">
        <w:rPr>
          <w:color w:val="auto"/>
          <w:sz w:val="22"/>
          <w:szCs w:val="22"/>
        </w:rPr>
        <w:t xml:space="preserve">e </w:t>
      </w:r>
      <w:r w:rsidRPr="00033B6B">
        <w:rPr>
          <w:color w:val="auto"/>
          <w:sz w:val="22"/>
          <w:szCs w:val="22"/>
        </w:rPr>
        <w:t>da Secretaria de Justiça e Sistemas Penal e Socioeducativo.</w:t>
      </w:r>
      <w:r w:rsidR="00CE49D1" w:rsidRPr="00033B6B">
        <w:rPr>
          <w:color w:val="auto"/>
          <w:sz w:val="22"/>
          <w:szCs w:val="22"/>
        </w:rPr>
        <w:t xml:space="preserve"> Absteve-se do julgamento a </w:t>
      </w:r>
      <w:r w:rsidR="008876A1" w:rsidRPr="00033B6B">
        <w:rPr>
          <w:color w:val="auto"/>
          <w:sz w:val="22"/>
          <w:szCs w:val="22"/>
        </w:rPr>
        <w:t xml:space="preserve">representante da </w:t>
      </w:r>
      <w:r w:rsidR="00CE49D1" w:rsidRPr="00033B6B">
        <w:rPr>
          <w:color w:val="auto"/>
          <w:sz w:val="22"/>
          <w:szCs w:val="22"/>
        </w:rPr>
        <w:t>Secretaria da Segurança Pública.</w:t>
      </w:r>
    </w:p>
    <w:p w14:paraId="7354A6BE" w14:textId="77777777" w:rsidR="00F22ECA" w:rsidRPr="00033B6B" w:rsidRDefault="00F22ECA" w:rsidP="00335BC1">
      <w:pPr>
        <w:pStyle w:val="PargrafoNormal"/>
        <w:spacing w:after="0" w:line="240" w:lineRule="auto"/>
        <w:ind w:firstLine="0"/>
        <w:rPr>
          <w:color w:val="auto"/>
          <w:sz w:val="22"/>
          <w:szCs w:val="22"/>
        </w:rPr>
      </w:pPr>
    </w:p>
    <w:p w14:paraId="118DC20F" w14:textId="1EC7C7F1" w:rsidR="00A531EB" w:rsidRPr="00033B6B" w:rsidRDefault="00A531EB" w:rsidP="004213EA">
      <w:pPr>
        <w:pStyle w:val="PargrafoNormal"/>
        <w:spacing w:after="0" w:line="240" w:lineRule="auto"/>
        <w:ind w:firstLine="0"/>
        <w:jc w:val="center"/>
        <w:rPr>
          <w:color w:val="auto"/>
          <w:sz w:val="22"/>
          <w:szCs w:val="22"/>
        </w:rPr>
      </w:pPr>
      <w:r w:rsidRPr="00033B6B">
        <w:rPr>
          <w:color w:val="auto"/>
          <w:sz w:val="22"/>
          <w:szCs w:val="22"/>
        </w:rPr>
        <w:t xml:space="preserve">Porto Alegre, </w:t>
      </w:r>
      <w:r w:rsidR="00CC3DBA" w:rsidRPr="00033B6B">
        <w:rPr>
          <w:color w:val="auto"/>
          <w:sz w:val="22"/>
          <w:szCs w:val="22"/>
        </w:rPr>
        <w:t>2</w:t>
      </w:r>
      <w:r w:rsidR="00D62076" w:rsidRPr="00033B6B">
        <w:rPr>
          <w:color w:val="auto"/>
          <w:sz w:val="22"/>
          <w:szCs w:val="22"/>
        </w:rPr>
        <w:t>9</w:t>
      </w:r>
      <w:r w:rsidR="00193E95" w:rsidRPr="00033B6B">
        <w:rPr>
          <w:color w:val="auto"/>
          <w:sz w:val="22"/>
          <w:szCs w:val="22"/>
        </w:rPr>
        <w:t xml:space="preserve"> de </w:t>
      </w:r>
      <w:r w:rsidR="00D62076" w:rsidRPr="00033B6B">
        <w:rPr>
          <w:color w:val="auto"/>
          <w:sz w:val="22"/>
          <w:szCs w:val="22"/>
        </w:rPr>
        <w:t>novem</w:t>
      </w:r>
      <w:r w:rsidR="00540444" w:rsidRPr="00033B6B">
        <w:rPr>
          <w:color w:val="auto"/>
          <w:sz w:val="22"/>
          <w:szCs w:val="22"/>
        </w:rPr>
        <w:t>b</w:t>
      </w:r>
      <w:r w:rsidR="00193E95" w:rsidRPr="00033B6B">
        <w:rPr>
          <w:color w:val="auto"/>
          <w:sz w:val="22"/>
          <w:szCs w:val="22"/>
        </w:rPr>
        <w:t>ro de 20</w:t>
      </w:r>
      <w:r w:rsidR="00540444" w:rsidRPr="00033B6B">
        <w:rPr>
          <w:color w:val="auto"/>
          <w:sz w:val="22"/>
          <w:szCs w:val="22"/>
        </w:rPr>
        <w:t>22</w:t>
      </w:r>
      <w:r w:rsidRPr="00033B6B">
        <w:rPr>
          <w:color w:val="auto"/>
          <w:sz w:val="22"/>
          <w:szCs w:val="22"/>
        </w:rPr>
        <w:t>.</w:t>
      </w:r>
    </w:p>
    <w:p w14:paraId="065A76D2" w14:textId="77777777" w:rsidR="00A531EB" w:rsidRPr="00033B6B" w:rsidRDefault="00A531EB" w:rsidP="004213EA">
      <w:pPr>
        <w:jc w:val="center"/>
        <w:rPr>
          <w:color w:val="auto"/>
          <w:sz w:val="22"/>
          <w:szCs w:val="22"/>
        </w:rPr>
      </w:pPr>
    </w:p>
    <w:p w14:paraId="578D00B3" w14:textId="77777777" w:rsidR="00884E4D" w:rsidRPr="00CA08BF" w:rsidRDefault="00884E4D" w:rsidP="004213EA">
      <w:pPr>
        <w:jc w:val="center"/>
        <w:rPr>
          <w:sz w:val="22"/>
          <w:szCs w:val="22"/>
        </w:rPr>
      </w:pPr>
    </w:p>
    <w:p w14:paraId="31BADEFF" w14:textId="697D8EDC" w:rsidR="004213EA" w:rsidRPr="00CA08BF" w:rsidRDefault="004213EA" w:rsidP="0020154A">
      <w:pP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77777777" w:rsidR="00F22ECA" w:rsidRDefault="00F22ECA"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41F79D18"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B88D94A" w14:textId="033D69CA" w:rsidR="00815FD1" w:rsidRPr="00CA08BF" w:rsidRDefault="00815FD1" w:rsidP="00572D45">
      <w:pPr>
        <w:pStyle w:val="PargrafoNormal"/>
        <w:ind w:firstLine="1134"/>
        <w:rPr>
          <w:color w:val="auto"/>
          <w:sz w:val="22"/>
        </w:rPr>
      </w:pPr>
      <w:r w:rsidRPr="00CA08BF">
        <w:rPr>
          <w:color w:val="auto"/>
          <w:sz w:val="22"/>
        </w:rPr>
        <w:t>Trata-se da análise de</w:t>
      </w:r>
      <w:r w:rsidR="00A26561">
        <w:rPr>
          <w:color w:val="auto"/>
          <w:sz w:val="22"/>
        </w:rPr>
        <w:t xml:space="preserve"> </w:t>
      </w:r>
      <w:r w:rsidR="00D62076">
        <w:rPr>
          <w:color w:val="auto"/>
          <w:sz w:val="22"/>
        </w:rPr>
        <w:t>04</w:t>
      </w:r>
      <w:r w:rsidRPr="00CA08BF">
        <w:rPr>
          <w:color w:val="auto"/>
          <w:sz w:val="22"/>
        </w:rPr>
        <w:t xml:space="preserve"> Termo</w:t>
      </w:r>
      <w:r w:rsidR="00A26561">
        <w:rPr>
          <w:color w:val="auto"/>
          <w:sz w:val="22"/>
        </w:rPr>
        <w:t>s</w:t>
      </w:r>
      <w:r w:rsidRPr="00CA08BF">
        <w:rPr>
          <w:color w:val="auto"/>
          <w:sz w:val="22"/>
        </w:rPr>
        <w:t xml:space="preserve"> de Classificação de Informação (</w:t>
      </w:r>
      <w:proofErr w:type="spellStart"/>
      <w:r w:rsidRPr="00CA08BF">
        <w:rPr>
          <w:color w:val="auto"/>
          <w:sz w:val="22"/>
        </w:rPr>
        <w:t>TCI</w:t>
      </w:r>
      <w:r w:rsidR="00A26561">
        <w:rPr>
          <w:color w:val="auto"/>
          <w:sz w:val="22"/>
        </w:rPr>
        <w:t>s</w:t>
      </w:r>
      <w:proofErr w:type="spellEnd"/>
      <w:r w:rsidRPr="00CA08BF">
        <w:rPr>
          <w:color w:val="auto"/>
          <w:sz w:val="22"/>
        </w:rPr>
        <w:t>) preenchido</w:t>
      </w:r>
      <w:r w:rsidR="00A26561">
        <w:rPr>
          <w:color w:val="auto"/>
          <w:sz w:val="22"/>
        </w:rPr>
        <w:t>s</w:t>
      </w:r>
      <w:r w:rsidRPr="00CA08BF">
        <w:rPr>
          <w:color w:val="auto"/>
          <w:sz w:val="22"/>
        </w:rPr>
        <w:t xml:space="preserve"> pela </w:t>
      </w:r>
      <w:r w:rsidR="00A26561">
        <w:rPr>
          <w:color w:val="auto"/>
          <w:sz w:val="22"/>
          <w:shd w:val="clear" w:color="auto" w:fill="FFFFFF"/>
        </w:rPr>
        <w:t>Secretaria da Segurança Pública</w:t>
      </w:r>
      <w:r w:rsidRPr="00CA08BF">
        <w:rPr>
          <w:color w:val="auto"/>
          <w:sz w:val="22"/>
        </w:rPr>
        <w:t xml:space="preserve">, </w:t>
      </w:r>
      <w:r w:rsidR="00335498">
        <w:rPr>
          <w:color w:val="auto"/>
          <w:sz w:val="22"/>
        </w:rPr>
        <w:t>encaminhado</w:t>
      </w:r>
      <w:r w:rsidR="00A26561">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3E38A756" w:rsidR="00815FD1" w:rsidRPr="00CA08BF" w:rsidRDefault="00815FD1" w:rsidP="00572D45">
      <w:pPr>
        <w:pStyle w:val="PargrafoNormal"/>
        <w:ind w:firstLine="1134"/>
        <w:rPr>
          <w:color w:val="auto"/>
          <w:sz w:val="22"/>
        </w:rPr>
      </w:pPr>
      <w:r w:rsidRPr="00CA08BF">
        <w:rPr>
          <w:color w:val="auto"/>
          <w:sz w:val="22"/>
        </w:rPr>
        <w:t xml:space="preserve">O encaminhamento </w:t>
      </w:r>
      <w:r w:rsidR="00D62076">
        <w:rPr>
          <w:color w:val="auto"/>
          <w:sz w:val="22"/>
        </w:rPr>
        <w:t xml:space="preserve">de 02 deles </w:t>
      </w:r>
      <w:r w:rsidRPr="00CA08BF">
        <w:rPr>
          <w:color w:val="auto"/>
          <w:sz w:val="22"/>
        </w:rPr>
        <w:t xml:space="preserve">se deu pelo </w:t>
      </w:r>
      <w:bookmarkStart w:id="0" w:name="_Hlk116849964"/>
      <w:r w:rsidR="00D62076">
        <w:rPr>
          <w:color w:val="auto"/>
          <w:sz w:val="22"/>
        </w:rPr>
        <w:t xml:space="preserve">PROA nº 22/0801-0002963-7 (em resposta a esclarecimentos adicionais requeridos em relação a 03 </w:t>
      </w:r>
      <w:proofErr w:type="spellStart"/>
      <w:r w:rsidR="00D62076">
        <w:rPr>
          <w:color w:val="auto"/>
          <w:sz w:val="22"/>
        </w:rPr>
        <w:t>TCIs</w:t>
      </w:r>
      <w:proofErr w:type="spellEnd"/>
      <w:r w:rsidR="00D62076">
        <w:rPr>
          <w:color w:val="auto"/>
          <w:sz w:val="22"/>
        </w:rPr>
        <w:t xml:space="preserve"> originalmente encaminhados pelo </w:t>
      </w:r>
      <w:r w:rsidRPr="00CA08BF">
        <w:rPr>
          <w:color w:val="auto"/>
          <w:sz w:val="22"/>
        </w:rPr>
        <w:t xml:space="preserve">Ofício </w:t>
      </w:r>
      <w:r w:rsidR="00CC3DBA">
        <w:rPr>
          <w:color w:val="auto"/>
          <w:sz w:val="22"/>
        </w:rPr>
        <w:t xml:space="preserve">nº </w:t>
      </w:r>
      <w:r w:rsidR="00C77B4F">
        <w:rPr>
          <w:color w:val="auto"/>
          <w:sz w:val="22"/>
        </w:rPr>
        <w:t>02</w:t>
      </w:r>
      <w:r w:rsidR="00A26561">
        <w:rPr>
          <w:color w:val="auto"/>
          <w:sz w:val="22"/>
        </w:rPr>
        <w:t>9</w:t>
      </w:r>
      <w:r w:rsidR="00CC3DBA">
        <w:rPr>
          <w:color w:val="auto"/>
          <w:sz w:val="22"/>
        </w:rPr>
        <w:t>/20</w:t>
      </w:r>
      <w:r w:rsidR="00C77B4F">
        <w:rPr>
          <w:color w:val="auto"/>
          <w:sz w:val="22"/>
        </w:rPr>
        <w:t>2</w:t>
      </w:r>
      <w:r w:rsidR="00A26561">
        <w:rPr>
          <w:color w:val="auto"/>
          <w:sz w:val="22"/>
        </w:rPr>
        <w:t>0-DCI/DISP/SSP</w:t>
      </w:r>
      <w:bookmarkEnd w:id="0"/>
      <w:r w:rsidRPr="00CA08BF">
        <w:rPr>
          <w:color w:val="auto"/>
          <w:sz w:val="22"/>
        </w:rPr>
        <w:t xml:space="preserve">, datado de </w:t>
      </w:r>
      <w:r w:rsidR="00A26561">
        <w:rPr>
          <w:color w:val="auto"/>
          <w:sz w:val="22"/>
        </w:rPr>
        <w:t>06</w:t>
      </w:r>
      <w:r w:rsidRPr="00CA08BF">
        <w:rPr>
          <w:color w:val="auto"/>
          <w:sz w:val="22"/>
        </w:rPr>
        <w:t>/0</w:t>
      </w:r>
      <w:r w:rsidR="00A26561">
        <w:rPr>
          <w:color w:val="auto"/>
          <w:sz w:val="22"/>
        </w:rPr>
        <w:t>3</w:t>
      </w:r>
      <w:r w:rsidRPr="00CA08BF">
        <w:rPr>
          <w:color w:val="auto"/>
          <w:sz w:val="22"/>
        </w:rPr>
        <w:t>/20</w:t>
      </w:r>
      <w:r w:rsidR="00C77B4F">
        <w:rPr>
          <w:color w:val="auto"/>
          <w:sz w:val="22"/>
        </w:rPr>
        <w:t>2</w:t>
      </w:r>
      <w:r w:rsidR="00A26561">
        <w:rPr>
          <w:color w:val="auto"/>
          <w:sz w:val="22"/>
        </w:rPr>
        <w:t>0</w:t>
      </w:r>
      <w:r w:rsidR="00D62076">
        <w:rPr>
          <w:color w:val="auto"/>
          <w:sz w:val="22"/>
        </w:rPr>
        <w:t>, que</w:t>
      </w:r>
      <w:r w:rsidRPr="00CA08BF">
        <w:rPr>
          <w:color w:val="auto"/>
          <w:sz w:val="22"/>
        </w:rPr>
        <w:t xml:space="preserve"> </w:t>
      </w:r>
      <w:r w:rsidR="00CC3DBA">
        <w:rPr>
          <w:color w:val="auto"/>
          <w:sz w:val="22"/>
        </w:rPr>
        <w:t>cont</w:t>
      </w:r>
      <w:r w:rsidR="00D62076">
        <w:rPr>
          <w:color w:val="auto"/>
          <w:sz w:val="22"/>
        </w:rPr>
        <w:t>inha</w:t>
      </w:r>
      <w:r w:rsidR="00CC3DBA">
        <w:rPr>
          <w:color w:val="auto"/>
          <w:sz w:val="22"/>
        </w:rPr>
        <w:t xml:space="preserve"> </w:t>
      </w:r>
      <w:r w:rsidR="00A26561">
        <w:rPr>
          <w:color w:val="auto"/>
          <w:sz w:val="22"/>
        </w:rPr>
        <w:t xml:space="preserve">57 </w:t>
      </w:r>
      <w:proofErr w:type="spellStart"/>
      <w:r w:rsidR="00CC3DBA">
        <w:rPr>
          <w:color w:val="auto"/>
          <w:sz w:val="22"/>
        </w:rPr>
        <w:t>TCI</w:t>
      </w:r>
      <w:r w:rsidR="00A26561">
        <w:rPr>
          <w:color w:val="auto"/>
          <w:sz w:val="22"/>
        </w:rPr>
        <w:t>s</w:t>
      </w:r>
      <w:proofErr w:type="spellEnd"/>
      <w:r w:rsidR="00D903C8">
        <w:rPr>
          <w:color w:val="auto"/>
          <w:sz w:val="22"/>
        </w:rPr>
        <w:t xml:space="preserve">, dos quais </w:t>
      </w:r>
      <w:r w:rsidR="00D62076">
        <w:rPr>
          <w:color w:val="auto"/>
          <w:sz w:val="22"/>
        </w:rPr>
        <w:t xml:space="preserve">54 foram </w:t>
      </w:r>
      <w:r w:rsidR="00D903C8">
        <w:rPr>
          <w:color w:val="auto"/>
          <w:sz w:val="22"/>
        </w:rPr>
        <w:t>analisa</w:t>
      </w:r>
      <w:r w:rsidR="00D62076">
        <w:rPr>
          <w:color w:val="auto"/>
          <w:sz w:val="22"/>
        </w:rPr>
        <w:t>dos na reunião de 25/10/2022</w:t>
      </w:r>
      <w:r w:rsidR="00A26561">
        <w:rPr>
          <w:color w:val="auto"/>
          <w:sz w:val="22"/>
        </w:rPr>
        <w:t>)</w:t>
      </w:r>
      <w:r w:rsidR="00D903C8">
        <w:rPr>
          <w:rStyle w:val="Refdenotaderodap"/>
          <w:color w:val="auto"/>
          <w:sz w:val="22"/>
        </w:rPr>
        <w:footnoteReference w:id="1"/>
      </w:r>
      <w:r w:rsidR="00A26561">
        <w:rPr>
          <w:color w:val="auto"/>
          <w:sz w:val="22"/>
        </w:rPr>
        <w:t xml:space="preserve">; </w:t>
      </w:r>
      <w:r w:rsidR="00D62076">
        <w:rPr>
          <w:color w:val="auto"/>
          <w:sz w:val="22"/>
        </w:rPr>
        <w:t xml:space="preserve">01 TCI pelo </w:t>
      </w:r>
      <w:r w:rsidR="00363C29">
        <w:rPr>
          <w:color w:val="auto"/>
          <w:sz w:val="22"/>
        </w:rPr>
        <w:t>PROA nº 2</w:t>
      </w:r>
      <w:r w:rsidR="00366ED6">
        <w:rPr>
          <w:color w:val="auto"/>
          <w:sz w:val="22"/>
        </w:rPr>
        <w:t>2</w:t>
      </w:r>
      <w:r w:rsidR="00363C29">
        <w:rPr>
          <w:color w:val="auto"/>
          <w:sz w:val="22"/>
        </w:rPr>
        <w:t>/1200-000</w:t>
      </w:r>
      <w:r w:rsidR="00366ED6">
        <w:rPr>
          <w:color w:val="auto"/>
          <w:sz w:val="22"/>
        </w:rPr>
        <w:t>131</w:t>
      </w:r>
      <w:r w:rsidR="00363C29">
        <w:rPr>
          <w:color w:val="auto"/>
          <w:sz w:val="22"/>
        </w:rPr>
        <w:t xml:space="preserve">2-0; </w:t>
      </w:r>
      <w:r w:rsidR="00366ED6">
        <w:rPr>
          <w:color w:val="auto"/>
          <w:sz w:val="22"/>
        </w:rPr>
        <w:t xml:space="preserve">e 01 TCI pelo </w:t>
      </w:r>
      <w:r w:rsidR="00363C29">
        <w:rPr>
          <w:color w:val="auto"/>
          <w:sz w:val="22"/>
        </w:rPr>
        <w:t>PROA nº 2</w:t>
      </w:r>
      <w:r w:rsidR="00366ED6">
        <w:rPr>
          <w:color w:val="auto"/>
          <w:sz w:val="22"/>
        </w:rPr>
        <w:t>2</w:t>
      </w:r>
      <w:r w:rsidR="00363C29">
        <w:rPr>
          <w:color w:val="auto"/>
          <w:sz w:val="22"/>
        </w:rPr>
        <w:t>/1200-000</w:t>
      </w:r>
      <w:r w:rsidR="00366ED6">
        <w:rPr>
          <w:color w:val="auto"/>
          <w:sz w:val="22"/>
        </w:rPr>
        <w:t>1332</w:t>
      </w:r>
      <w:r w:rsidR="00363C29">
        <w:rPr>
          <w:color w:val="auto"/>
          <w:sz w:val="22"/>
        </w:rPr>
        <w:t>-</w:t>
      </w:r>
      <w:r w:rsidR="00366ED6">
        <w:rPr>
          <w:color w:val="auto"/>
          <w:sz w:val="22"/>
        </w:rPr>
        <w:t>4</w:t>
      </w:r>
      <w:r w:rsidRPr="00CA08BF">
        <w:rPr>
          <w:color w:val="auto"/>
          <w:sz w:val="22"/>
        </w:rPr>
        <w:t>.</w:t>
      </w:r>
    </w:p>
    <w:p w14:paraId="3E86B75A" w14:textId="47082B9A" w:rsidR="00815FD1" w:rsidRPr="00CA08BF" w:rsidRDefault="00815FD1" w:rsidP="00572D45">
      <w:pPr>
        <w:pStyle w:val="PargrafoNormal"/>
        <w:spacing w:after="0"/>
        <w:ind w:firstLine="1134"/>
        <w:rPr>
          <w:color w:val="auto"/>
          <w:sz w:val="22"/>
        </w:rPr>
      </w:pPr>
      <w:r w:rsidRPr="00CA08BF">
        <w:rPr>
          <w:color w:val="auto"/>
          <w:sz w:val="22"/>
        </w:rPr>
        <w:t>A análise do</w:t>
      </w:r>
      <w:r w:rsidR="00363C29">
        <w:rPr>
          <w:color w:val="auto"/>
          <w:sz w:val="22"/>
        </w:rPr>
        <w:t>s</w:t>
      </w:r>
      <w:r w:rsidRPr="00CA08BF">
        <w:rPr>
          <w:color w:val="auto"/>
          <w:sz w:val="22"/>
        </w:rPr>
        <w:t xml:space="preserve"> documento</w:t>
      </w:r>
      <w:r w:rsidR="00624C17">
        <w:rPr>
          <w:color w:val="auto"/>
          <w:sz w:val="22"/>
        </w:rPr>
        <w:t>s</w:t>
      </w:r>
      <w:r w:rsidRPr="00CA08BF">
        <w:rPr>
          <w:color w:val="auto"/>
          <w:sz w:val="22"/>
        </w:rPr>
        <w:t xml:space="preserve"> foi </w:t>
      </w:r>
      <w:r w:rsidR="00CC3DBA">
        <w:rPr>
          <w:color w:val="auto"/>
          <w:sz w:val="22"/>
        </w:rPr>
        <w:t xml:space="preserve">a mim </w:t>
      </w:r>
      <w:r w:rsidRPr="00CA08BF">
        <w:rPr>
          <w:color w:val="auto"/>
          <w:sz w:val="22"/>
        </w:rPr>
        <w:t>distribuída</w:t>
      </w:r>
      <w:r w:rsidR="005706C2">
        <w:rPr>
          <w:color w:val="auto"/>
          <w:sz w:val="22"/>
        </w:rPr>
        <w:t>, por conexão,</w:t>
      </w:r>
      <w:r w:rsidRPr="00CA08BF">
        <w:rPr>
          <w:color w:val="auto"/>
          <w:sz w:val="22"/>
        </w:rPr>
        <w:t xml:space="preserve">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1C2AAFF" w14:textId="531466ED"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326D8D">
        <w:rPr>
          <w:color w:val="auto"/>
          <w:sz w:val="22"/>
          <w:szCs w:val="22"/>
          <w:lang w:eastAsia="zh-CN"/>
        </w:rPr>
        <w:t>s</w:t>
      </w:r>
      <w:r w:rsidRPr="00F2669C">
        <w:rPr>
          <w:color w:val="auto"/>
          <w:sz w:val="22"/>
          <w:szCs w:val="22"/>
          <w:lang w:eastAsia="zh-CN"/>
        </w:rPr>
        <w:t xml:space="preserve"> presente</w:t>
      </w:r>
      <w:r w:rsidR="00326D8D">
        <w:rPr>
          <w:color w:val="auto"/>
          <w:sz w:val="22"/>
          <w:szCs w:val="22"/>
          <w:lang w:eastAsia="zh-CN"/>
        </w:rPr>
        <w:t>s</w:t>
      </w:r>
      <w:r w:rsidRPr="00F2669C">
        <w:rPr>
          <w:color w:val="auto"/>
          <w:sz w:val="22"/>
          <w:szCs w:val="22"/>
          <w:lang w:eastAsia="zh-CN"/>
        </w:rPr>
        <w:t xml:space="preserve"> </w:t>
      </w:r>
      <w:proofErr w:type="spellStart"/>
      <w:r w:rsidRPr="00F2669C">
        <w:rPr>
          <w:color w:val="auto"/>
          <w:sz w:val="22"/>
          <w:szCs w:val="22"/>
          <w:lang w:eastAsia="zh-CN"/>
        </w:rPr>
        <w:t>TCI</w:t>
      </w:r>
      <w:r w:rsidR="00326D8D">
        <w:rPr>
          <w:color w:val="auto"/>
          <w:sz w:val="22"/>
          <w:szCs w:val="22"/>
          <w:lang w:eastAsia="zh-CN"/>
        </w:rPr>
        <w:t>s</w:t>
      </w:r>
      <w:proofErr w:type="spellEnd"/>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w:t>
      </w:r>
      <w:r w:rsidRPr="00F2669C">
        <w:rPr>
          <w:color w:val="auto"/>
          <w:sz w:val="22"/>
          <w:szCs w:val="22"/>
          <w:lang w:eastAsia="zh-CN"/>
        </w:rPr>
        <w:lastRenderedPageBreak/>
        <w:t xml:space="preserve">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6C2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w:t>
      </w:r>
      <w:proofErr w:type="gramStart"/>
      <w:r w:rsidRPr="00F2669C">
        <w:rPr>
          <w:color w:val="auto"/>
          <w:sz w:val="22"/>
          <w:szCs w:val="22"/>
          <w:lang w:eastAsia="zh-CN"/>
        </w:rPr>
        <w:t>como sigilos bancário</w:t>
      </w:r>
      <w:proofErr w:type="gramEnd"/>
      <w:r w:rsidRPr="00F2669C">
        <w:rPr>
          <w:color w:val="auto"/>
          <w:sz w:val="22"/>
          <w:szCs w:val="22"/>
          <w:lang w:eastAsia="zh-CN"/>
        </w:rPr>
        <w:t xml:space="preserve">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1" w:name="_Hlk530313229"/>
      <w:r w:rsidRPr="00F2669C">
        <w:rPr>
          <w:color w:val="auto"/>
          <w:sz w:val="22"/>
          <w:szCs w:val="22"/>
          <w:lang w:eastAsia="zh-CN"/>
        </w:rPr>
        <w:t xml:space="preserve">e sigilo de processo administrativo-disciplinar em curso (art. 207 da LCE nº 10.098/94); </w:t>
      </w:r>
      <w:bookmarkEnd w:id="1"/>
      <w:r w:rsidRPr="00F2669C">
        <w:rPr>
          <w:color w:val="auto"/>
          <w:sz w:val="22"/>
          <w:szCs w:val="22"/>
          <w:lang w:eastAsia="zh-CN"/>
        </w:rPr>
        <w:t xml:space="preserve">e as atinentes a questões de natureza patrimonial intelectual, como segredo industrial (Lei nº 9.279/96) e </w:t>
      </w:r>
      <w:bookmarkStart w:id="2"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2"/>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w:t>
      </w:r>
      <w:proofErr w:type="spellStart"/>
      <w:r w:rsidRPr="00F2669C">
        <w:rPr>
          <w:i/>
          <w:color w:val="auto"/>
          <w:sz w:val="20"/>
          <w:szCs w:val="22"/>
          <w:lang w:eastAsia="zh-CN"/>
        </w:rPr>
        <w:t>g.n</w:t>
      </w:r>
      <w:proofErr w:type="spellEnd"/>
      <w:r w:rsidRPr="00F2669C">
        <w:rPr>
          <w:i/>
          <w:color w:val="auto"/>
          <w:sz w:val="20"/>
          <w:szCs w:val="22"/>
          <w:lang w:eastAsia="zh-CN"/>
        </w:rPr>
        <w:t>.)</w:t>
      </w:r>
    </w:p>
    <w:p w14:paraId="141B8029" w14:textId="77777777"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2"/>
      </w:r>
      <w:r w:rsidRPr="00F2669C">
        <w:rPr>
          <w:color w:val="auto"/>
          <w:sz w:val="22"/>
          <w:szCs w:val="22"/>
          <w:lang w:eastAsia="zh-CN"/>
        </w:rPr>
        <w:t>:</w:t>
      </w:r>
    </w:p>
    <w:p w14:paraId="7E106794" w14:textId="77777777" w:rsidR="00E276A4" w:rsidRPr="00F2669C" w:rsidRDefault="00E276A4" w:rsidP="00E276A4">
      <w:pPr>
        <w:suppressAutoHyphens/>
        <w:spacing w:line="360" w:lineRule="auto"/>
        <w:ind w:firstLine="1134"/>
        <w:rPr>
          <w:color w:val="auto"/>
          <w:sz w:val="22"/>
          <w:szCs w:val="22"/>
          <w:lang w:eastAsia="zh-CN"/>
        </w:rPr>
      </w:pP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r w:rsidRPr="00F2669C">
        <w:rPr>
          <w:i/>
          <w:color w:val="auto"/>
          <w:sz w:val="20"/>
          <w:szCs w:val="22"/>
          <w:lang w:eastAsia="zh-CN"/>
        </w:rPr>
        <w:t>re</w:t>
      </w:r>
      <w:proofErr w:type="spellEnd"/>
      <w:r w:rsidRPr="00F2669C">
        <w:rPr>
          <w:i/>
          <w:color w:val="auto"/>
          <w:sz w:val="20"/>
          <w:szCs w:val="22"/>
          <w:lang w:eastAsia="zh-CN"/>
        </w:rPr>
        <w:t xml:space="preserv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w:t>
      </w:r>
      <w:r w:rsidRPr="00F2669C">
        <w:rPr>
          <w:color w:val="auto"/>
          <w:sz w:val="22"/>
          <w:szCs w:val="22"/>
          <w:lang w:eastAsia="zh-CN"/>
        </w:rPr>
        <w:lastRenderedPageBreak/>
        <w:t xml:space="preserve">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14:paraId="7575176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4363F7B4" w14:textId="3757813A" w:rsidR="007E0963" w:rsidRDefault="00F2669C" w:rsidP="008876A1">
      <w:pPr>
        <w:suppressAutoHyphens/>
        <w:spacing w:line="360" w:lineRule="auto"/>
        <w:ind w:firstLine="1134"/>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w:t>
      </w:r>
      <w:r w:rsidR="007E0963">
        <w:rPr>
          <w:b/>
          <w:color w:val="auto"/>
          <w:sz w:val="22"/>
          <w:szCs w:val="22"/>
          <w:lang w:eastAsia="zh-CN"/>
        </w:rPr>
        <w:t>s</w:t>
      </w:r>
      <w:r w:rsidRPr="00F2669C">
        <w:rPr>
          <w:b/>
          <w:color w:val="auto"/>
          <w:sz w:val="22"/>
          <w:szCs w:val="22"/>
          <w:lang w:eastAsia="zh-CN"/>
        </w:rPr>
        <w:t xml:space="preserve"> </w:t>
      </w:r>
      <w:proofErr w:type="spellStart"/>
      <w:r w:rsidRPr="00F2669C">
        <w:rPr>
          <w:b/>
          <w:color w:val="auto"/>
          <w:sz w:val="22"/>
          <w:szCs w:val="22"/>
          <w:lang w:eastAsia="zh-CN"/>
        </w:rPr>
        <w:t>TCI</w:t>
      </w:r>
      <w:r w:rsidR="007E0963">
        <w:rPr>
          <w:b/>
          <w:color w:val="auto"/>
          <w:sz w:val="22"/>
          <w:szCs w:val="22"/>
          <w:lang w:eastAsia="zh-CN"/>
        </w:rPr>
        <w:t>s</w:t>
      </w:r>
      <w:proofErr w:type="spellEnd"/>
      <w:r w:rsidRPr="00F2669C">
        <w:rPr>
          <w:color w:val="auto"/>
          <w:sz w:val="22"/>
          <w:szCs w:val="22"/>
          <w:lang w:eastAsia="zh-CN"/>
        </w:rPr>
        <w:t xml:space="preserve"> objeto de revisão por esta Comissão.</w:t>
      </w:r>
    </w:p>
    <w:p w14:paraId="569F0C61" w14:textId="12838B01" w:rsidR="007E0963" w:rsidRPr="00CE49D1" w:rsidRDefault="00F2669C" w:rsidP="00CE49D1">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sidR="007E0963">
        <w:rPr>
          <w:sz w:val="22"/>
          <w:szCs w:val="22"/>
        </w:rPr>
        <w:t xml:space="preserve"> (à exceção de um, como adiante se explicitará)</w:t>
      </w:r>
      <w:r>
        <w:rPr>
          <w:sz w:val="22"/>
          <w:szCs w:val="22"/>
        </w:rPr>
        <w:t xml:space="preserve"> </w:t>
      </w:r>
      <w:r w:rsidR="007E0963">
        <w:rPr>
          <w:sz w:val="22"/>
          <w:szCs w:val="22"/>
        </w:rPr>
        <w:t xml:space="preserve">todos </w:t>
      </w:r>
      <w:r w:rsidR="00CC3DBA" w:rsidRPr="00CC3DBA">
        <w:rPr>
          <w:sz w:val="22"/>
          <w:szCs w:val="22"/>
        </w:rPr>
        <w:t>o</w:t>
      </w:r>
      <w:r w:rsidR="007E0963">
        <w:rPr>
          <w:sz w:val="22"/>
          <w:szCs w:val="22"/>
        </w:rPr>
        <w:t>s</w:t>
      </w:r>
      <w:r>
        <w:rPr>
          <w:sz w:val="22"/>
          <w:szCs w:val="22"/>
        </w:rPr>
        <w:t xml:space="preserve"> </w:t>
      </w:r>
      <w:proofErr w:type="spellStart"/>
      <w:r>
        <w:rPr>
          <w:sz w:val="22"/>
          <w:szCs w:val="22"/>
        </w:rPr>
        <w:t>TCI</w:t>
      </w:r>
      <w:r w:rsidR="007E0963">
        <w:rPr>
          <w:sz w:val="22"/>
          <w:szCs w:val="22"/>
        </w:rPr>
        <w:t>s</w:t>
      </w:r>
      <w:proofErr w:type="spellEnd"/>
      <w:r>
        <w:rPr>
          <w:sz w:val="22"/>
          <w:szCs w:val="22"/>
        </w:rPr>
        <w:t xml:space="preserve"> submetido</w:t>
      </w:r>
      <w:r w:rsidR="007E0963">
        <w:rPr>
          <w:sz w:val="22"/>
          <w:szCs w:val="22"/>
        </w:rPr>
        <w:t>s</w:t>
      </w:r>
      <w:r>
        <w:rPr>
          <w:sz w:val="22"/>
          <w:szCs w:val="22"/>
        </w:rPr>
        <w:t xml:space="preserve"> à análise desta CMRI/RS </w:t>
      </w:r>
      <w:r w:rsidR="00CC3DBA" w:rsidRPr="00CC3DBA">
        <w:rPr>
          <w:b/>
          <w:sz w:val="22"/>
          <w:szCs w:val="22"/>
          <w:u w:val="single"/>
        </w:rPr>
        <w:t>não</w:t>
      </w:r>
      <w:r w:rsidR="00CC3DBA">
        <w:rPr>
          <w:sz w:val="22"/>
          <w:szCs w:val="22"/>
        </w:rPr>
        <w:t xml:space="preserve"> </w:t>
      </w:r>
      <w:r>
        <w:rPr>
          <w:sz w:val="22"/>
          <w:szCs w:val="22"/>
        </w:rPr>
        <w:t>diz</w:t>
      </w:r>
      <w:r w:rsidR="007E0963">
        <w:rPr>
          <w:sz w:val="22"/>
          <w:szCs w:val="22"/>
        </w:rPr>
        <w:t>em</w:t>
      </w:r>
      <w:r>
        <w:rPr>
          <w:sz w:val="22"/>
          <w:szCs w:val="22"/>
        </w:rPr>
        <w:t xml:space="preserve">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51B47DFF" w14:textId="402E54A1" w:rsidR="007E0963" w:rsidRDefault="00CC3DBA" w:rsidP="00CE49D1">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de cada TCI apresentado, para melhor compreensão.</w:t>
      </w:r>
    </w:p>
    <w:p w14:paraId="67B7F32C" w14:textId="77777777" w:rsidR="008876A1" w:rsidRDefault="008876A1" w:rsidP="00CE49D1">
      <w:pPr>
        <w:suppressAutoHyphens/>
        <w:spacing w:line="360" w:lineRule="auto"/>
        <w:ind w:firstLine="1134"/>
        <w:rPr>
          <w:b/>
          <w:bCs/>
          <w:color w:val="auto"/>
          <w:sz w:val="22"/>
        </w:rPr>
      </w:pPr>
      <w:bookmarkStart w:id="3" w:name="_Hlk116850014"/>
    </w:p>
    <w:p w14:paraId="77F03121" w14:textId="073A6EC3" w:rsidR="007E0963" w:rsidRPr="00CE49D1" w:rsidRDefault="007E0963" w:rsidP="00CE49D1">
      <w:pPr>
        <w:suppressAutoHyphens/>
        <w:spacing w:line="360" w:lineRule="auto"/>
        <w:ind w:firstLine="1134"/>
        <w:rPr>
          <w:b/>
          <w:bCs/>
          <w:sz w:val="22"/>
          <w:lang w:eastAsia="ar-SA"/>
        </w:rPr>
      </w:pPr>
      <w:r>
        <w:rPr>
          <w:b/>
          <w:bCs/>
          <w:color w:val="auto"/>
          <w:sz w:val="22"/>
        </w:rPr>
        <w:t xml:space="preserve">1) </w:t>
      </w:r>
      <w:r w:rsidR="00493857">
        <w:rPr>
          <w:b/>
          <w:bCs/>
          <w:color w:val="auto"/>
          <w:sz w:val="22"/>
        </w:rPr>
        <w:t>02</w:t>
      </w:r>
      <w:r>
        <w:rPr>
          <w:b/>
          <w:bCs/>
          <w:color w:val="auto"/>
          <w:sz w:val="22"/>
        </w:rPr>
        <w:t xml:space="preserve"> </w:t>
      </w:r>
      <w:proofErr w:type="spellStart"/>
      <w:r>
        <w:rPr>
          <w:b/>
          <w:bCs/>
          <w:color w:val="auto"/>
          <w:sz w:val="22"/>
        </w:rPr>
        <w:t>TCIs</w:t>
      </w:r>
      <w:proofErr w:type="spellEnd"/>
      <w:r>
        <w:rPr>
          <w:b/>
          <w:bCs/>
          <w:color w:val="auto"/>
          <w:sz w:val="22"/>
        </w:rPr>
        <w:t xml:space="preserve"> encaminhados pelo </w:t>
      </w:r>
      <w:r w:rsidR="00493857">
        <w:rPr>
          <w:b/>
          <w:bCs/>
          <w:color w:val="auto"/>
          <w:sz w:val="22"/>
        </w:rPr>
        <w:t>PROA nº 22/0801-0002963-7</w:t>
      </w:r>
      <w:r>
        <w:rPr>
          <w:b/>
          <w:bCs/>
          <w:color w:val="auto"/>
          <w:sz w:val="22"/>
        </w:rPr>
        <w:t>:</w:t>
      </w:r>
      <w:bookmarkEnd w:id="3"/>
    </w:p>
    <w:p w14:paraId="629D1CDE" w14:textId="77777777" w:rsidR="008876A1" w:rsidRDefault="008876A1" w:rsidP="00CE49D1">
      <w:pPr>
        <w:suppressAutoHyphens/>
        <w:spacing w:line="360" w:lineRule="auto"/>
        <w:ind w:firstLine="1134"/>
        <w:rPr>
          <w:color w:val="auto"/>
          <w:sz w:val="22"/>
          <w:lang w:eastAsia="ar-SA"/>
        </w:rPr>
      </w:pPr>
    </w:p>
    <w:p w14:paraId="09E53AEC" w14:textId="16F8D201" w:rsidR="00493857" w:rsidRPr="00CE49D1" w:rsidRDefault="00493857" w:rsidP="00CE49D1">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033/2019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12/04/2019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w:t>
      </w:r>
      <w:r>
        <w:rPr>
          <w:color w:val="auto"/>
          <w:sz w:val="22"/>
          <w:lang w:eastAsia="ar-SA"/>
        </w:rPr>
        <w:lastRenderedPageBreak/>
        <w:t xml:space="preserve">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“12/04/2019”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7264DB6" w14:textId="5CAD34F2" w:rsidR="00C50112" w:rsidRPr="00CE49D1" w:rsidRDefault="00493857" w:rsidP="00CE49D1">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segundo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034/2019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17/04/2019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“17/04/2019”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FD20CA9" w14:textId="37D0396D"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de se tratar</w:t>
      </w:r>
      <w:r w:rsidR="00C50112">
        <w:rPr>
          <w:color w:val="auto"/>
          <w:sz w:val="22"/>
          <w:lang w:eastAsia="ar-SA"/>
        </w:rPr>
        <w:t>em</w:t>
      </w:r>
      <w:r w:rsidR="00D129C1">
        <w:rPr>
          <w:color w:val="auto"/>
          <w:sz w:val="22"/>
          <w:lang w:eastAsia="ar-SA"/>
        </w:rPr>
        <w:t xml:space="preserve"> de hipótese</w:t>
      </w:r>
      <w:r w:rsidR="00C50112">
        <w:rPr>
          <w:color w:val="auto"/>
          <w:sz w:val="22"/>
          <w:lang w:eastAsia="ar-SA"/>
        </w:rPr>
        <w:t>s</w:t>
      </w:r>
      <w:r w:rsidR="00D129C1">
        <w:rPr>
          <w:color w:val="auto"/>
          <w:sz w:val="22"/>
          <w:lang w:eastAsia="ar-SA"/>
        </w:rPr>
        <w:t>, de fato, passíve</w:t>
      </w:r>
      <w:r w:rsidR="00C50112">
        <w:rPr>
          <w:color w:val="auto"/>
          <w:sz w:val="22"/>
          <w:lang w:eastAsia="ar-SA"/>
        </w:rPr>
        <w:t>is</w:t>
      </w:r>
      <w:r w:rsidR="00D129C1">
        <w:rPr>
          <w:color w:val="auto"/>
          <w:sz w:val="22"/>
          <w:lang w:eastAsia="ar-SA"/>
        </w:rPr>
        <w:t xml:space="preserve"> de classificação em algum grau de sigilo, inexistem </w:t>
      </w:r>
      <w:r>
        <w:rPr>
          <w:color w:val="auto"/>
          <w:sz w:val="22"/>
          <w:lang w:eastAsia="ar-SA"/>
        </w:rPr>
        <w:t xml:space="preserve">defeitos </w:t>
      </w:r>
      <w:r w:rsidRPr="007D1D57">
        <w:rPr>
          <w:i/>
          <w:color w:val="auto"/>
          <w:sz w:val="22"/>
          <w:lang w:eastAsia="ar-SA"/>
        </w:rPr>
        <w:t>formais</w:t>
      </w:r>
      <w:r>
        <w:rPr>
          <w:color w:val="auto"/>
          <w:sz w:val="22"/>
          <w:lang w:eastAsia="ar-SA"/>
        </w:rPr>
        <w:t xml:space="preserve"> quanto ao preenchimento d</w:t>
      </w:r>
      <w:r w:rsidR="00D129C1">
        <w:rPr>
          <w:color w:val="auto"/>
          <w:sz w:val="22"/>
          <w:lang w:eastAsia="ar-SA"/>
        </w:rPr>
        <w:t>os diversos</w:t>
      </w:r>
      <w:r>
        <w:rPr>
          <w:color w:val="auto"/>
          <w:sz w:val="22"/>
          <w:lang w:eastAsia="ar-SA"/>
        </w:rPr>
        <w:t xml:space="preserve"> campos do</w:t>
      </w:r>
      <w:r w:rsidR="00C50112">
        <w:rPr>
          <w:color w:val="auto"/>
          <w:sz w:val="22"/>
          <w:lang w:eastAsia="ar-SA"/>
        </w:rPr>
        <w:t>s</w:t>
      </w:r>
      <w:r>
        <w:rPr>
          <w:color w:val="auto"/>
          <w:sz w:val="22"/>
          <w:lang w:eastAsia="ar-SA"/>
        </w:rPr>
        <w:t xml:space="preserve"> </w:t>
      </w:r>
      <w:proofErr w:type="spellStart"/>
      <w:r>
        <w:rPr>
          <w:color w:val="auto"/>
          <w:sz w:val="22"/>
          <w:lang w:eastAsia="ar-SA"/>
        </w:rPr>
        <w:t>TCI</w:t>
      </w:r>
      <w:r w:rsidR="00C50112">
        <w:rPr>
          <w:color w:val="auto"/>
          <w:sz w:val="22"/>
          <w:lang w:eastAsia="ar-SA"/>
        </w:rPr>
        <w:t>s</w:t>
      </w:r>
      <w:proofErr w:type="spellEnd"/>
      <w:r>
        <w:rPr>
          <w:color w:val="auto"/>
          <w:sz w:val="22"/>
          <w:lang w:eastAsia="ar-SA"/>
        </w:rPr>
        <w:t>,</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14:paraId="0B5F6DE3" w14:textId="76EA286B" w:rsidR="007E0963" w:rsidRDefault="001C63BE" w:rsidP="008876A1">
      <w:pPr>
        <w:suppressAutoHyphens/>
        <w:spacing w:line="360" w:lineRule="auto"/>
        <w:ind w:firstLine="1134"/>
        <w:rPr>
          <w:color w:val="auto"/>
          <w:sz w:val="22"/>
        </w:rPr>
      </w:pPr>
      <w:r w:rsidRPr="00CA08BF">
        <w:rPr>
          <w:color w:val="auto"/>
          <w:sz w:val="22"/>
          <w:lang w:eastAsia="ar-SA"/>
        </w:rPr>
        <w:t>Ante o exposto, conclui-se que o</w:t>
      </w:r>
      <w:r w:rsidR="00C50112">
        <w:rPr>
          <w:color w:val="auto"/>
          <w:sz w:val="22"/>
          <w:lang w:eastAsia="ar-SA"/>
        </w:rPr>
        <w:t>s</w:t>
      </w:r>
      <w:r w:rsidRPr="00CA08BF">
        <w:rPr>
          <w:color w:val="auto"/>
          <w:sz w:val="22"/>
          <w:lang w:eastAsia="ar-SA"/>
        </w:rPr>
        <w:t xml:space="preserve"> Termo</w:t>
      </w:r>
      <w:r w:rsidR="00C50112">
        <w:rPr>
          <w:color w:val="auto"/>
          <w:sz w:val="22"/>
          <w:lang w:eastAsia="ar-SA"/>
        </w:rPr>
        <w:t>s</w:t>
      </w:r>
      <w:r w:rsidRPr="00CA08BF">
        <w:rPr>
          <w:color w:val="auto"/>
          <w:sz w:val="22"/>
          <w:lang w:eastAsia="ar-SA"/>
        </w:rPr>
        <w:t xml:space="preserve"> de Classificação de Informação</w:t>
      </w:r>
      <w:r>
        <w:rPr>
          <w:color w:val="auto"/>
          <w:sz w:val="22"/>
          <w:lang w:eastAsia="ar-SA"/>
        </w:rPr>
        <w:t xml:space="preserve"> - </w:t>
      </w:r>
      <w:proofErr w:type="spellStart"/>
      <w:r>
        <w:rPr>
          <w:color w:val="auto"/>
          <w:sz w:val="22"/>
          <w:lang w:eastAsia="ar-SA"/>
        </w:rPr>
        <w:t>TCI</w:t>
      </w:r>
      <w:r w:rsidR="00C50112">
        <w:rPr>
          <w:color w:val="auto"/>
          <w:sz w:val="22"/>
          <w:lang w:eastAsia="ar-SA"/>
        </w:rPr>
        <w:t>s</w:t>
      </w:r>
      <w:proofErr w:type="spellEnd"/>
      <w:r w:rsidRPr="00CA08BF">
        <w:rPr>
          <w:color w:val="auto"/>
          <w:sz w:val="22"/>
          <w:lang w:eastAsia="ar-SA"/>
        </w:rPr>
        <w:t xml:space="preserve"> encaminhado</w:t>
      </w:r>
      <w:r w:rsidR="00C50112">
        <w:rPr>
          <w:color w:val="auto"/>
          <w:sz w:val="22"/>
          <w:lang w:eastAsia="ar-SA"/>
        </w:rPr>
        <w:t>s</w:t>
      </w:r>
      <w:r w:rsidRPr="00CA08BF">
        <w:rPr>
          <w:color w:val="auto"/>
          <w:sz w:val="22"/>
          <w:lang w:eastAsia="ar-SA"/>
        </w:rPr>
        <w:t xml:space="preserve"> pela </w:t>
      </w:r>
      <w:r w:rsidR="0043761B">
        <w:rPr>
          <w:color w:val="auto"/>
          <w:sz w:val="22"/>
          <w:lang w:eastAsia="ar-SA"/>
        </w:rPr>
        <w:t>SSP</w:t>
      </w:r>
      <w:r w:rsidRPr="00CA08BF">
        <w:rPr>
          <w:color w:val="auto"/>
          <w:sz w:val="22"/>
          <w:lang w:eastAsia="ar-SA"/>
        </w:rPr>
        <w:t xml:space="preserve"> </w:t>
      </w:r>
      <w:r>
        <w:rPr>
          <w:color w:val="auto"/>
          <w:sz w:val="22"/>
          <w:lang w:eastAsia="ar-SA"/>
        </w:rPr>
        <w:t>resta</w:t>
      </w:r>
      <w:r w:rsidR="00C50112">
        <w:rPr>
          <w:color w:val="auto"/>
          <w:sz w:val="22"/>
          <w:lang w:eastAsia="ar-SA"/>
        </w:rPr>
        <w:t>m</w:t>
      </w:r>
      <w:r>
        <w:rPr>
          <w:color w:val="auto"/>
          <w:sz w:val="22"/>
          <w:lang w:eastAsia="ar-SA"/>
        </w:rPr>
        <w:t xml:space="preserve"> hígido</w:t>
      </w:r>
      <w:r w:rsidR="00C50112">
        <w:rPr>
          <w:color w:val="auto"/>
          <w:sz w:val="22"/>
          <w:lang w:eastAsia="ar-SA"/>
        </w:rPr>
        <w:t>s</w:t>
      </w:r>
      <w:r>
        <w:rPr>
          <w:color w:val="auto"/>
          <w:sz w:val="22"/>
          <w:lang w:eastAsia="ar-SA"/>
        </w:rPr>
        <w:t xml:space="preserve"> e corretamente preenchido</w:t>
      </w:r>
      <w:r w:rsidR="00C50112">
        <w:rPr>
          <w:color w:val="auto"/>
          <w:sz w:val="22"/>
          <w:lang w:eastAsia="ar-SA"/>
        </w:rPr>
        <w:t>s</w:t>
      </w:r>
      <w:r>
        <w:rPr>
          <w:color w:val="auto"/>
          <w:sz w:val="22"/>
          <w:lang w:eastAsia="ar-SA"/>
        </w:rPr>
        <w:t xml:space="preserve"> e fundamentado</w:t>
      </w:r>
      <w:r w:rsidR="00C50112">
        <w:rPr>
          <w:color w:val="auto"/>
          <w:sz w:val="22"/>
          <w:lang w:eastAsia="ar-SA"/>
        </w:rPr>
        <w:t>s</w:t>
      </w:r>
      <w:r>
        <w:rPr>
          <w:color w:val="auto"/>
          <w:sz w:val="22"/>
          <w:lang w:eastAsia="ar-SA"/>
        </w:rPr>
        <w:t>, enquadrando-se devidamente em hipótese</w:t>
      </w:r>
      <w:r w:rsidR="00C50112">
        <w:rPr>
          <w:color w:val="auto"/>
          <w:sz w:val="22"/>
          <w:lang w:eastAsia="ar-SA"/>
        </w:rPr>
        <w:t>s</w:t>
      </w:r>
      <w:r>
        <w:rPr>
          <w:color w:val="auto"/>
          <w:sz w:val="22"/>
          <w:lang w:eastAsia="ar-SA"/>
        </w:rPr>
        <w:t xml:space="preserv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277FF3DA" w14:textId="77777777" w:rsidR="008876A1" w:rsidRDefault="008876A1" w:rsidP="00CE49D1">
      <w:pPr>
        <w:suppressAutoHyphens/>
        <w:spacing w:line="360" w:lineRule="auto"/>
        <w:ind w:firstLine="1134"/>
        <w:rPr>
          <w:b/>
          <w:bCs/>
          <w:color w:val="auto"/>
          <w:sz w:val="22"/>
        </w:rPr>
      </w:pPr>
    </w:p>
    <w:p w14:paraId="516935D5" w14:textId="40696CCE" w:rsidR="007E0963" w:rsidRDefault="007E0963" w:rsidP="00CE49D1">
      <w:pPr>
        <w:suppressAutoHyphens/>
        <w:spacing w:line="360" w:lineRule="auto"/>
        <w:ind w:firstLine="1134"/>
        <w:rPr>
          <w:b/>
          <w:bCs/>
          <w:color w:val="auto"/>
          <w:sz w:val="22"/>
        </w:rPr>
      </w:pPr>
      <w:r w:rsidRPr="00F3637A">
        <w:rPr>
          <w:b/>
          <w:bCs/>
          <w:color w:val="auto"/>
          <w:sz w:val="22"/>
        </w:rPr>
        <w:t>2) TCI encaminhado</w:t>
      </w:r>
      <w:r>
        <w:rPr>
          <w:b/>
          <w:bCs/>
          <w:color w:val="auto"/>
          <w:sz w:val="22"/>
        </w:rPr>
        <w:t xml:space="preserve"> pelo </w:t>
      </w:r>
      <w:r w:rsidRPr="007E0963">
        <w:rPr>
          <w:b/>
          <w:bCs/>
          <w:color w:val="auto"/>
          <w:sz w:val="22"/>
        </w:rPr>
        <w:t>PROA nº 2</w:t>
      </w:r>
      <w:r w:rsidR="009D2D8F">
        <w:rPr>
          <w:b/>
          <w:bCs/>
          <w:color w:val="auto"/>
          <w:sz w:val="22"/>
        </w:rPr>
        <w:t>2</w:t>
      </w:r>
      <w:r w:rsidRPr="007E0963">
        <w:rPr>
          <w:b/>
          <w:bCs/>
          <w:color w:val="auto"/>
          <w:sz w:val="22"/>
        </w:rPr>
        <w:t>/1200-000</w:t>
      </w:r>
      <w:r w:rsidR="009D2D8F">
        <w:rPr>
          <w:b/>
          <w:bCs/>
          <w:color w:val="auto"/>
          <w:sz w:val="22"/>
        </w:rPr>
        <w:t>131</w:t>
      </w:r>
      <w:r w:rsidRPr="007E0963">
        <w:rPr>
          <w:b/>
          <w:bCs/>
          <w:color w:val="auto"/>
          <w:sz w:val="22"/>
        </w:rPr>
        <w:t>2-0</w:t>
      </w:r>
      <w:r>
        <w:rPr>
          <w:b/>
          <w:bCs/>
          <w:color w:val="auto"/>
          <w:sz w:val="22"/>
        </w:rPr>
        <w:t>:</w:t>
      </w:r>
      <w:r w:rsidRPr="007E0963">
        <w:rPr>
          <w:b/>
          <w:bCs/>
          <w:color w:val="auto"/>
          <w:sz w:val="22"/>
        </w:rPr>
        <w:t xml:space="preserve"> </w:t>
      </w:r>
    </w:p>
    <w:p w14:paraId="01FBD4EA" w14:textId="77777777" w:rsidR="008876A1" w:rsidRDefault="008876A1" w:rsidP="00C50112">
      <w:pPr>
        <w:suppressAutoHyphens/>
        <w:spacing w:line="360" w:lineRule="auto"/>
        <w:ind w:firstLine="1134"/>
        <w:rPr>
          <w:color w:val="auto"/>
          <w:sz w:val="22"/>
          <w:lang w:eastAsia="ar-SA"/>
        </w:rPr>
      </w:pPr>
    </w:p>
    <w:p w14:paraId="65D0FBB1" w14:textId="72BAC3F0" w:rsidR="00C50112" w:rsidRPr="00F22ECA" w:rsidRDefault="00C50112" w:rsidP="00C50112">
      <w:pPr>
        <w:suppressAutoHyphens/>
        <w:spacing w:line="360" w:lineRule="auto"/>
        <w:ind w:firstLine="1134"/>
        <w:rPr>
          <w:color w:val="FF0000"/>
          <w:sz w:val="22"/>
          <w:lang w:eastAsia="ar-SA"/>
        </w:rPr>
      </w:pPr>
      <w:r>
        <w:rPr>
          <w:color w:val="auto"/>
          <w:sz w:val="22"/>
          <w:lang w:eastAsia="ar-SA"/>
        </w:rPr>
        <w:lastRenderedPageBreak/>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1</w:t>
      </w:r>
      <w:r w:rsidR="009D2D8F">
        <w:rPr>
          <w:i/>
          <w:color w:val="auto"/>
          <w:sz w:val="22"/>
          <w:lang w:eastAsia="ar-SA"/>
        </w:rPr>
        <w:t>10</w:t>
      </w:r>
      <w:r>
        <w:rPr>
          <w:i/>
          <w:color w:val="auto"/>
          <w:sz w:val="22"/>
          <w:lang w:eastAsia="ar-SA"/>
        </w:rPr>
        <w:t>/202</w:t>
      </w:r>
      <w:r w:rsidR="009D2D8F">
        <w:rPr>
          <w:i/>
          <w:color w:val="auto"/>
          <w:sz w:val="22"/>
          <w:lang w:eastAsia="ar-SA"/>
        </w:rPr>
        <w:t>1</w:t>
      </w:r>
      <w:r w:rsidR="005706C2">
        <w:rPr>
          <w:i/>
          <w:color w:val="auto"/>
          <w:sz w:val="22"/>
          <w:lang w:eastAsia="ar-SA"/>
        </w:rPr>
        <w:t xml:space="preserve">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19/0</w:t>
      </w:r>
      <w:r w:rsidR="009D2D8F">
        <w:rPr>
          <w:i/>
          <w:sz w:val="22"/>
          <w:lang w:eastAsia="ar-SA"/>
        </w:rPr>
        <w:t>5</w:t>
      </w:r>
      <w:r>
        <w:rPr>
          <w:i/>
          <w:sz w:val="22"/>
          <w:lang w:eastAsia="ar-SA"/>
        </w:rPr>
        <w:t>/202</w:t>
      </w:r>
      <w:r w:rsidR="009D2D8F">
        <w:rPr>
          <w:i/>
          <w:sz w:val="22"/>
          <w:lang w:eastAsia="ar-SA"/>
        </w:rPr>
        <w:t>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0"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005706C2" w:rsidRPr="005706C2">
        <w:rPr>
          <w:i/>
          <w:iCs/>
          <w:color w:val="auto"/>
          <w:sz w:val="22"/>
          <w:lang w:eastAsia="ar-SA"/>
        </w:rPr>
        <w:t>“05”</w:t>
      </w:r>
      <w:r w:rsidR="005706C2">
        <w:rPr>
          <w:color w:val="auto"/>
          <w:sz w:val="22"/>
          <w:lang w:eastAsia="ar-SA"/>
        </w:rPr>
        <w:t xml:space="preserve">, </w:t>
      </w:r>
      <w:r>
        <w:rPr>
          <w:color w:val="auto"/>
          <w:sz w:val="22"/>
          <w:lang w:eastAsia="ar-SA"/>
        </w:rPr>
        <w:t xml:space="preserve">que corresponde a </w:t>
      </w:r>
      <w:r w:rsidR="005706C2" w:rsidRPr="005706C2">
        <w:rPr>
          <w:i/>
          <w:iCs/>
          <w:color w:val="auto"/>
          <w:sz w:val="22"/>
          <w:lang w:eastAsia="ar-SA"/>
        </w:rPr>
        <w:t>“Defesa e Segurança”</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“19/0</w:t>
      </w:r>
      <w:r w:rsidR="009D2D8F">
        <w:rPr>
          <w:i/>
          <w:color w:val="auto"/>
          <w:sz w:val="22"/>
          <w:lang w:eastAsia="ar-SA"/>
        </w:rPr>
        <w:t>5</w:t>
      </w:r>
      <w:r>
        <w:rPr>
          <w:i/>
          <w:color w:val="auto"/>
          <w:sz w:val="22"/>
          <w:lang w:eastAsia="ar-SA"/>
        </w:rPr>
        <w:t>/202</w:t>
      </w:r>
      <w:r w:rsidR="009D2D8F">
        <w:rPr>
          <w:i/>
          <w:color w:val="auto"/>
          <w:sz w:val="22"/>
          <w:lang w:eastAsia="ar-SA"/>
        </w:rPr>
        <w:t>1</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FD4299A" w14:textId="4715A29A" w:rsidR="005706C2" w:rsidRDefault="005706C2" w:rsidP="005706C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3FFE4B1C" w14:textId="6F2A1AF6" w:rsidR="005706C2" w:rsidRDefault="005706C2" w:rsidP="008876A1">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3679299F" w14:textId="77777777" w:rsidR="008876A1" w:rsidRDefault="008876A1" w:rsidP="00CE49D1">
      <w:pPr>
        <w:suppressAutoHyphens/>
        <w:spacing w:line="360" w:lineRule="auto"/>
        <w:ind w:firstLine="1134"/>
        <w:rPr>
          <w:b/>
          <w:bCs/>
          <w:color w:val="auto"/>
          <w:sz w:val="22"/>
        </w:rPr>
      </w:pPr>
    </w:p>
    <w:p w14:paraId="24B2C8CC" w14:textId="3523B8E6" w:rsidR="007E0963" w:rsidRDefault="007E0963" w:rsidP="00CE49D1">
      <w:pPr>
        <w:suppressAutoHyphens/>
        <w:spacing w:line="360" w:lineRule="auto"/>
        <w:ind w:firstLine="1134"/>
        <w:rPr>
          <w:b/>
          <w:bCs/>
          <w:color w:val="auto"/>
          <w:sz w:val="22"/>
        </w:rPr>
      </w:pPr>
      <w:r w:rsidRPr="00F3637A">
        <w:rPr>
          <w:b/>
          <w:bCs/>
          <w:color w:val="auto"/>
          <w:sz w:val="22"/>
        </w:rPr>
        <w:t>3) TCI encaminhado</w:t>
      </w:r>
      <w:r w:rsidRPr="007E0963">
        <w:rPr>
          <w:b/>
          <w:bCs/>
          <w:color w:val="auto"/>
          <w:sz w:val="22"/>
        </w:rPr>
        <w:t xml:space="preserve"> pelo PROA nº 2</w:t>
      </w:r>
      <w:r w:rsidR="009D2D8F">
        <w:rPr>
          <w:b/>
          <w:bCs/>
          <w:color w:val="auto"/>
          <w:sz w:val="22"/>
        </w:rPr>
        <w:t>2</w:t>
      </w:r>
      <w:r w:rsidRPr="007E0963">
        <w:rPr>
          <w:b/>
          <w:bCs/>
          <w:color w:val="auto"/>
          <w:sz w:val="22"/>
        </w:rPr>
        <w:t>/1200-000</w:t>
      </w:r>
      <w:r w:rsidR="009D2D8F">
        <w:rPr>
          <w:b/>
          <w:bCs/>
          <w:color w:val="auto"/>
          <w:sz w:val="22"/>
        </w:rPr>
        <w:t>1332</w:t>
      </w:r>
      <w:r w:rsidRPr="007E0963">
        <w:rPr>
          <w:b/>
          <w:bCs/>
          <w:color w:val="auto"/>
          <w:sz w:val="22"/>
        </w:rPr>
        <w:t>-</w:t>
      </w:r>
      <w:r w:rsidR="009D2D8F">
        <w:rPr>
          <w:b/>
          <w:bCs/>
          <w:color w:val="auto"/>
          <w:sz w:val="22"/>
        </w:rPr>
        <w:t>4</w:t>
      </w:r>
      <w:r>
        <w:rPr>
          <w:b/>
          <w:bCs/>
          <w:color w:val="auto"/>
          <w:sz w:val="22"/>
        </w:rPr>
        <w:t>:</w:t>
      </w:r>
      <w:r w:rsidRPr="007E0963">
        <w:rPr>
          <w:b/>
          <w:bCs/>
          <w:color w:val="auto"/>
          <w:sz w:val="22"/>
        </w:rPr>
        <w:t xml:space="preserve"> </w:t>
      </w:r>
    </w:p>
    <w:p w14:paraId="38265425" w14:textId="77777777" w:rsidR="008876A1" w:rsidRDefault="008876A1" w:rsidP="009D2D8F">
      <w:pPr>
        <w:suppressAutoHyphens/>
        <w:spacing w:line="360" w:lineRule="auto"/>
        <w:ind w:firstLine="1134"/>
        <w:rPr>
          <w:color w:val="auto"/>
          <w:sz w:val="22"/>
          <w:lang w:eastAsia="ar-SA"/>
        </w:rPr>
      </w:pPr>
    </w:p>
    <w:p w14:paraId="4E2ECB51" w14:textId="613E8FFA" w:rsidR="009D2D8F" w:rsidRPr="00F22ECA" w:rsidRDefault="009D2D8F" w:rsidP="009D2D8F">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Pr>
          <w:color w:val="auto"/>
          <w:sz w:val="22"/>
          <w:lang w:eastAsia="ar-SA"/>
        </w:rPr>
        <w:t>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Plano de Segurança Orgânica – Anexo Único da Portaria 111/2021</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20/10/2021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“15 anos”, </w:t>
      </w:r>
      <w:r>
        <w:rPr>
          <w:color w:val="auto"/>
          <w:sz w:val="22"/>
          <w:lang w:eastAsia="ar-SA"/>
        </w:rPr>
        <w:t>de acordo com o art. 24, § 1º, inciso II, da LAI, que na hipótese de grau secreto estabelece prazo máximo de 15 anos). F</w:t>
      </w:r>
      <w:r w:rsidRPr="00B928E9">
        <w:rPr>
          <w:color w:val="auto"/>
          <w:sz w:val="22"/>
          <w:lang w:eastAsia="ar-SA"/>
        </w:rPr>
        <w:t xml:space="preserve">oi informado o </w:t>
      </w:r>
      <w:r w:rsidRPr="00B928E9">
        <w:rPr>
          <w:b/>
          <w:color w:val="auto"/>
          <w:sz w:val="22"/>
          <w:lang w:eastAsia="ar-SA"/>
        </w:rPr>
        <w:lastRenderedPageBreak/>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“20/10/2021”</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7470AF3"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689AB2EB" w14:textId="2642278F" w:rsidR="00227247" w:rsidRDefault="00C50112" w:rsidP="00A1639F">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bookmarkStart w:id="4" w:name="_GoBack"/>
      <w:bookmarkEnd w:id="4"/>
    </w:p>
    <w:p w14:paraId="1D9C7F99" w14:textId="6543798B" w:rsidR="00D243EC" w:rsidRPr="00CE49D1" w:rsidRDefault="001C63BE" w:rsidP="008876A1">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w:t>
      </w:r>
      <w:r w:rsidR="00150594">
        <w:rPr>
          <w:color w:val="000000" w:themeColor="text1"/>
          <w:sz w:val="22"/>
          <w:lang w:eastAsia="ar-SA"/>
        </w:rPr>
        <w:t>nos</w:t>
      </w:r>
      <w:r w:rsidR="00F44474">
        <w:rPr>
          <w:color w:val="000000" w:themeColor="text1"/>
          <w:sz w:val="22"/>
          <w:lang w:eastAsia="ar-SA"/>
        </w:rPr>
        <w:t xml:space="preserve"> </w:t>
      </w:r>
      <w:r w:rsidR="00150594">
        <w:rPr>
          <w:color w:val="000000" w:themeColor="text1"/>
          <w:sz w:val="22"/>
          <w:lang w:eastAsia="ar-SA"/>
        </w:rPr>
        <w:t>04</w:t>
      </w:r>
      <w:r w:rsidR="00F44474">
        <w:rPr>
          <w:color w:val="000000" w:themeColor="text1"/>
          <w:sz w:val="22"/>
          <w:lang w:eastAsia="ar-SA"/>
        </w:rPr>
        <w:t xml:space="preserve"> </w:t>
      </w:r>
      <w:proofErr w:type="spellStart"/>
      <w:r w:rsidRPr="002C79BD">
        <w:rPr>
          <w:color w:val="000000" w:themeColor="text1"/>
          <w:sz w:val="22"/>
          <w:lang w:eastAsia="ar-SA"/>
        </w:rPr>
        <w:t>TCI</w:t>
      </w:r>
      <w:r w:rsidR="00F44474">
        <w:rPr>
          <w:color w:val="000000" w:themeColor="text1"/>
          <w:sz w:val="22"/>
          <w:lang w:eastAsia="ar-SA"/>
        </w:rPr>
        <w:t>s</w:t>
      </w:r>
      <w:proofErr w:type="spellEnd"/>
      <w:r w:rsidRPr="002C79BD">
        <w:rPr>
          <w:color w:val="000000" w:themeColor="text1"/>
          <w:sz w:val="22"/>
          <w:lang w:eastAsia="ar-SA"/>
        </w:rPr>
        <w:t xml:space="preserve"> encaminhado</w:t>
      </w:r>
      <w:r w:rsidR="00F44474">
        <w:rPr>
          <w:color w:val="000000" w:themeColor="text1"/>
          <w:sz w:val="22"/>
          <w:lang w:eastAsia="ar-SA"/>
        </w:rPr>
        <w:t>s</w:t>
      </w:r>
      <w:r w:rsidRPr="002C79BD">
        <w:rPr>
          <w:color w:val="000000" w:themeColor="text1"/>
          <w:sz w:val="22"/>
          <w:lang w:eastAsia="ar-SA"/>
        </w:rPr>
        <w:t xml:space="preserve"> pela </w:t>
      </w:r>
      <w:r w:rsidR="00F44474">
        <w:rPr>
          <w:color w:val="000000" w:themeColor="text1"/>
          <w:sz w:val="22"/>
          <w:lang w:eastAsia="ar-SA"/>
        </w:rPr>
        <w:t>Secretaria da Segurança Pública</w:t>
      </w:r>
      <w:r w:rsidRPr="002C79BD">
        <w:rPr>
          <w:color w:val="000000" w:themeColor="text1"/>
          <w:sz w:val="22"/>
          <w:lang w:eastAsia="ar-SA"/>
        </w:rPr>
        <w:t xml:space="preserve">, </w:t>
      </w:r>
      <w:r w:rsidR="008140A8">
        <w:rPr>
          <w:color w:val="000000" w:themeColor="text1"/>
          <w:sz w:val="22"/>
          <w:lang w:eastAsia="ar-SA"/>
        </w:rPr>
        <w:t xml:space="preserve">de acordo com </w:t>
      </w:r>
      <w:r w:rsidR="008140A8" w:rsidRPr="008140A8">
        <w:rPr>
          <w:color w:val="000000" w:themeColor="text1"/>
          <w:sz w:val="22"/>
          <w:lang w:eastAsia="ar-SA"/>
        </w:rPr>
        <w:t>o art. 1º, inciso II, do Decreto Estadual nº 51.111/2014 (Regimento Interno desta Comissão)</w:t>
      </w:r>
      <w:r w:rsidR="008140A8">
        <w:rPr>
          <w:color w:val="000000" w:themeColor="text1"/>
          <w:sz w:val="22"/>
          <w:lang w:eastAsia="ar-SA"/>
        </w:rPr>
        <w:t>,</w:t>
      </w:r>
      <w:r w:rsidR="008140A8" w:rsidRPr="008140A8">
        <w:rPr>
          <w:color w:val="000000" w:themeColor="text1"/>
          <w:sz w:val="22"/>
          <w:lang w:eastAsia="ar-SA"/>
        </w:rPr>
        <w:t xml:space="preserve"> nos termos anteriormente expostos.</w:t>
      </w:r>
      <w:r w:rsidR="008140A8">
        <w:rPr>
          <w:color w:val="000000" w:themeColor="text1"/>
          <w:sz w:val="22"/>
          <w:lang w:eastAsia="ar-SA"/>
        </w:rPr>
        <w:t xml:space="preserve"> </w:t>
      </w:r>
    </w:p>
    <w:p w14:paraId="463552A8" w14:textId="77777777" w:rsidR="00227247" w:rsidRDefault="00227247" w:rsidP="00D243EC">
      <w:pPr>
        <w:pStyle w:val="PargrafoNormal"/>
        <w:spacing w:after="0"/>
        <w:ind w:firstLine="1134"/>
        <w:rPr>
          <w:b/>
          <w:color w:val="000000" w:themeColor="text1"/>
          <w:u w:val="single"/>
        </w:rPr>
      </w:pPr>
    </w:p>
    <w:p w14:paraId="240321A6" w14:textId="46BA3EA9" w:rsidR="00D243EC" w:rsidRPr="003801EF" w:rsidRDefault="00D243EC" w:rsidP="00227247">
      <w:pPr>
        <w:pStyle w:val="PargrafoNormal"/>
        <w:spacing w:after="0"/>
        <w:ind w:firstLine="1134"/>
        <w:rPr>
          <w:color w:val="auto"/>
          <w:sz w:val="22"/>
          <w:szCs w:val="22"/>
          <w:lang w:eastAsia="ar-SA"/>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de </w:t>
      </w:r>
      <w:r w:rsidRPr="00D243EC">
        <w:rPr>
          <w:b/>
          <w:color w:val="auto"/>
          <w:lang w:eastAsia="ar-SA"/>
        </w:rPr>
        <w:t xml:space="preserve">MANTER A CLASSIFICAÇÃO </w:t>
      </w:r>
      <w:r w:rsidRPr="00D243EC">
        <w:rPr>
          <w:b/>
          <w:color w:val="000000" w:themeColor="text1"/>
          <w:lang w:eastAsia="ar-SA"/>
        </w:rPr>
        <w:t xml:space="preserve">das informações consignadas </w:t>
      </w:r>
      <w:r w:rsidR="00150594">
        <w:rPr>
          <w:b/>
          <w:color w:val="000000" w:themeColor="text1"/>
          <w:lang w:eastAsia="ar-SA"/>
        </w:rPr>
        <w:t>n</w:t>
      </w:r>
      <w:r w:rsidR="00F44474">
        <w:rPr>
          <w:b/>
          <w:color w:val="000000" w:themeColor="text1"/>
          <w:lang w:eastAsia="ar-SA"/>
        </w:rPr>
        <w:t xml:space="preserve">os </w:t>
      </w:r>
      <w:r w:rsidR="00150594">
        <w:rPr>
          <w:b/>
          <w:color w:val="000000" w:themeColor="text1"/>
          <w:lang w:eastAsia="ar-SA"/>
        </w:rPr>
        <w:t xml:space="preserve">04 </w:t>
      </w:r>
      <w:proofErr w:type="spellStart"/>
      <w:r w:rsidRPr="00D243EC">
        <w:rPr>
          <w:b/>
          <w:color w:val="000000" w:themeColor="text1"/>
          <w:lang w:eastAsia="ar-SA"/>
        </w:rPr>
        <w:t>TCI</w:t>
      </w:r>
      <w:r w:rsidR="00F44474">
        <w:rPr>
          <w:b/>
          <w:color w:val="000000" w:themeColor="text1"/>
          <w:lang w:eastAsia="ar-SA"/>
        </w:rPr>
        <w:t>s</w:t>
      </w:r>
      <w:proofErr w:type="spellEnd"/>
      <w:r w:rsidRPr="00D243EC">
        <w:rPr>
          <w:b/>
          <w:color w:val="000000" w:themeColor="text1"/>
          <w:lang w:eastAsia="ar-SA"/>
        </w:rPr>
        <w:t xml:space="preserve"> encaminhado</w:t>
      </w:r>
      <w:r w:rsidR="00F44474">
        <w:rPr>
          <w:b/>
          <w:color w:val="000000" w:themeColor="text1"/>
          <w:lang w:eastAsia="ar-SA"/>
        </w:rPr>
        <w:t>s</w:t>
      </w:r>
      <w:r w:rsidR="00FA0F76">
        <w:rPr>
          <w:b/>
          <w:color w:val="000000" w:themeColor="text1"/>
          <w:lang w:eastAsia="ar-SA"/>
        </w:rPr>
        <w:t xml:space="preserve"> pela </w:t>
      </w:r>
      <w:r w:rsidR="00F44474">
        <w:rPr>
          <w:b/>
          <w:color w:val="000000" w:themeColor="text1"/>
          <w:lang w:eastAsia="ar-SA"/>
        </w:rPr>
        <w:t>Secretaria da Segurança Pública</w:t>
      </w:r>
      <w:r w:rsidRPr="00D243EC">
        <w:rPr>
          <w:b/>
          <w:color w:val="000000" w:themeColor="text1"/>
          <w:lang w:eastAsia="ar-SA"/>
        </w:rPr>
        <w:t>, nos termos do art. 1º, inciso II, do Decreto Estadual nº 51.111/2014 (Regimento Interno desta Comissão)</w:t>
      </w:r>
      <w:r w:rsidRPr="00D243EC">
        <w:rPr>
          <w:b/>
          <w:color w:val="auto"/>
        </w:rPr>
        <w:t>.</w:t>
      </w:r>
    </w:p>
    <w:sectPr w:rsidR="00D243EC" w:rsidRPr="003801EF" w:rsidSect="007758E1">
      <w:headerReference w:type="default" r:id="rId12"/>
      <w:footerReference w:type="default" r:id="rId13"/>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2626" w14:textId="77777777" w:rsidR="00CC26C4" w:rsidRDefault="00CC26C4" w:rsidP="007758E1">
      <w:r>
        <w:separator/>
      </w:r>
    </w:p>
  </w:endnote>
  <w:endnote w:type="continuationSeparator" w:id="0">
    <w:p w14:paraId="6EC31051" w14:textId="77777777" w:rsidR="00CC26C4" w:rsidRDefault="00CC26C4"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0683323"/>
      <w:docPartObj>
        <w:docPartGallery w:val="Page Numbers (Bottom of Page)"/>
        <w:docPartUnique/>
      </w:docPartObj>
    </w:sdtPr>
    <w:sdtEndPr/>
    <w:sdtContent>
      <w:p w14:paraId="512E5698" w14:textId="5847213D" w:rsidR="00DB1F98" w:rsidRDefault="00FD6FC2">
        <w:pPr>
          <w:pStyle w:val="Rodap"/>
          <w:jc w:val="right"/>
        </w:pPr>
        <w:r>
          <w:fldChar w:fldCharType="begin"/>
        </w:r>
        <w:r>
          <w:instrText xml:space="preserve"> PAGE   \* MERGEFORMAT </w:instrText>
        </w:r>
        <w:r>
          <w:fldChar w:fldCharType="separate"/>
        </w:r>
        <w:r w:rsidR="00A1639F">
          <w:rPr>
            <w:noProof/>
          </w:rPr>
          <w:t>16</w:t>
        </w:r>
        <w:r>
          <w:rPr>
            <w:noProof/>
          </w:rPr>
          <w:fldChar w:fldCharType="end"/>
        </w:r>
      </w:p>
    </w:sdtContent>
  </w:sdt>
  <w:p w14:paraId="79BCEA5E" w14:textId="77777777" w:rsidR="00E276A4" w:rsidRDefault="00E276A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965D" w14:textId="77777777" w:rsidR="00CC26C4" w:rsidRDefault="00CC26C4" w:rsidP="007758E1">
      <w:r>
        <w:separator/>
      </w:r>
    </w:p>
  </w:footnote>
  <w:footnote w:type="continuationSeparator" w:id="0">
    <w:p w14:paraId="2EA340DF" w14:textId="77777777" w:rsidR="00CC26C4" w:rsidRDefault="00CC26C4" w:rsidP="007758E1">
      <w:r>
        <w:continuationSeparator/>
      </w:r>
    </w:p>
  </w:footnote>
  <w:footnote w:id="1">
    <w:p w14:paraId="75DFF131" w14:textId="7DFDF76C" w:rsidR="00D903C8" w:rsidRDefault="00D903C8">
      <w:pPr>
        <w:pStyle w:val="Textodenotaderodap"/>
      </w:pPr>
      <w:r>
        <w:rPr>
          <w:rStyle w:val="Refdenotaderodap"/>
        </w:rPr>
        <w:footnoteRef/>
      </w:r>
      <w:r>
        <w:t xml:space="preserve"> </w:t>
      </w:r>
      <w:r w:rsidR="00D62076">
        <w:t xml:space="preserve">Destes </w:t>
      </w:r>
      <w:r w:rsidR="000A5BDB">
        <w:t>03</w:t>
      </w:r>
      <w:r>
        <w:t xml:space="preserve"> </w:t>
      </w:r>
      <w:proofErr w:type="spellStart"/>
      <w:r>
        <w:t>TCIs</w:t>
      </w:r>
      <w:proofErr w:type="spellEnd"/>
      <w:r w:rsidR="00D62076">
        <w:t xml:space="preserve"> em relação aos quais foram requeridos esclarecimentos</w:t>
      </w:r>
      <w:r>
        <w:t xml:space="preserve">, </w:t>
      </w:r>
      <w:r w:rsidR="00D62076">
        <w:t>01 foi desclassificado, de ofício, pelo órgão (</w:t>
      </w:r>
      <w:proofErr w:type="spellStart"/>
      <w:r w:rsidR="00D62076">
        <w:t>arts</w:t>
      </w:r>
      <w:proofErr w:type="spellEnd"/>
      <w:r w:rsidR="00D62076">
        <w:t xml:space="preserve">. 11 do Decreto Estadual nº 53.164/2016 e </w:t>
      </w:r>
      <w:r w:rsidR="00D62076" w:rsidRPr="00D62076">
        <w:t>3º da Resolução CMRI/RS nº 02/2018</w:t>
      </w:r>
      <w:r w:rsidR="00D62076">
        <w:t xml:space="preserve">), e 02 retornaram para a </w:t>
      </w:r>
      <w:r w:rsidRPr="00D903C8">
        <w:t xml:space="preserve">revisão de que tratam os </w:t>
      </w:r>
      <w:proofErr w:type="spellStart"/>
      <w:r w:rsidRPr="00D903C8">
        <w:t>arts</w:t>
      </w:r>
      <w:proofErr w:type="spellEnd"/>
      <w:r w:rsidRPr="00D903C8">
        <w:t>. 22, II, do Decreto Estadual nº 49.111/2012 e 1º, II, do RI/CMRI/RS.</w:t>
      </w:r>
    </w:p>
  </w:footnote>
  <w:footnote w:id="2">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3">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w:t>
      </w:r>
      <w:proofErr w:type="spellStart"/>
      <w:r w:rsidRPr="00204AFB">
        <w:rPr>
          <w:i/>
          <w:sz w:val="18"/>
        </w:rPr>
        <w:t>g.n</w:t>
      </w:r>
      <w:proofErr w:type="spell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77777777"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w:t>
      </w:r>
      <w:proofErr w:type="spellStart"/>
      <w:r w:rsidRPr="00AD6C7C">
        <w:rPr>
          <w:i/>
          <w:sz w:val="18"/>
        </w:rPr>
        <w:t>g.n</w:t>
      </w:r>
      <w:proofErr w:type="spellEnd"/>
      <w:r w:rsidRPr="00AD6C7C">
        <w:rPr>
          <w:i/>
          <w:sz w:val="18"/>
        </w:rPr>
        <w:t>.)</w:t>
      </w:r>
    </w:p>
  </w:footnote>
  <w:footnote w:id="4">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w:t>
      </w:r>
      <w:proofErr w:type="spellStart"/>
      <w:r w:rsidRPr="00204AFB">
        <w:rPr>
          <w:i/>
          <w:sz w:val="18"/>
        </w:rPr>
        <w:t>g.n</w:t>
      </w:r>
      <w:proofErr w:type="spell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49.111/2012.” (</w:t>
      </w:r>
      <w:proofErr w:type="spellStart"/>
      <w:r w:rsidRPr="00204AFB">
        <w:rPr>
          <w:i/>
          <w:sz w:val="18"/>
        </w:rPr>
        <w:t>g.n</w:t>
      </w:r>
      <w:proofErr w:type="spellEnd"/>
      <w:r w:rsidRPr="00204AFB">
        <w:rPr>
          <w:i/>
          <w:sz w:val="18"/>
        </w:rPr>
        <w:t>.)</w:t>
      </w:r>
    </w:p>
  </w:footnote>
  <w:footnote w:id="5">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9">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77777777"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Default="00E276A4">
    <w:pPr>
      <w:pStyle w:val="Cabealho"/>
    </w:pPr>
    <w:r>
      <w:t>P</w:t>
    </w:r>
    <w:r w:rsidR="00540444">
      <w:t>GE</w:t>
    </w:r>
  </w:p>
  <w:p w14:paraId="79640179" w14:textId="69399B00" w:rsidR="00E276A4" w:rsidRDefault="00D243EC">
    <w:pPr>
      <w:pStyle w:val="Cabealho"/>
    </w:pPr>
    <w:r>
      <w:t xml:space="preserve">decisão Nº </w:t>
    </w:r>
    <w:r w:rsidR="0020154A">
      <w:t>014</w:t>
    </w:r>
    <w:r w:rsidR="00E276A4">
      <w:t>/20</w:t>
    </w:r>
    <w:r w:rsidR="00540444">
      <w:t>22</w:t>
    </w:r>
  </w:p>
  <w:p w14:paraId="0C998648" w14:textId="45F0A969" w:rsidR="00E276A4" w:rsidRDefault="00E276A4">
    <w:pPr>
      <w:pStyle w:val="Cabealho"/>
      <w:tabs>
        <w:tab w:val="right" w:pos="8460"/>
      </w:tabs>
    </w:pPr>
    <w:r>
      <w:t>20</w:t>
    </w:r>
    <w:r w:rsidR="00540444">
      <w:t>2</w:t>
    </w:r>
    <w:r w:rsidR="00A26561">
      <w:t>2</w:t>
    </w:r>
    <w:r>
      <w:t>/</w:t>
    </w:r>
    <w:r w:rsidR="00A26561">
      <w:t>SSP</w:t>
    </w:r>
  </w:p>
  <w:p w14:paraId="78C12D6D" w14:textId="77777777" w:rsidR="00E276A4" w:rsidRDefault="00E276A4">
    <w:pPr>
      <w:pStyle w:val="Cabealho"/>
      <w:tabs>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4485"/>
    <w:rsid w:val="0000506F"/>
    <w:rsid w:val="00007794"/>
    <w:rsid w:val="00007D38"/>
    <w:rsid w:val="00023AE6"/>
    <w:rsid w:val="00031E32"/>
    <w:rsid w:val="00033B6B"/>
    <w:rsid w:val="00036C2D"/>
    <w:rsid w:val="00042441"/>
    <w:rsid w:val="00056CC3"/>
    <w:rsid w:val="00057498"/>
    <w:rsid w:val="00057C92"/>
    <w:rsid w:val="00057E4B"/>
    <w:rsid w:val="000676EB"/>
    <w:rsid w:val="000726A0"/>
    <w:rsid w:val="00076D04"/>
    <w:rsid w:val="00077683"/>
    <w:rsid w:val="000A0943"/>
    <w:rsid w:val="000A5570"/>
    <w:rsid w:val="000A5BDB"/>
    <w:rsid w:val="000A7952"/>
    <w:rsid w:val="000B2F25"/>
    <w:rsid w:val="000B4E20"/>
    <w:rsid w:val="000D1448"/>
    <w:rsid w:val="000D6045"/>
    <w:rsid w:val="000D7D49"/>
    <w:rsid w:val="000E1958"/>
    <w:rsid w:val="000E3905"/>
    <w:rsid w:val="000E3D22"/>
    <w:rsid w:val="000F39A2"/>
    <w:rsid w:val="0010341A"/>
    <w:rsid w:val="00104980"/>
    <w:rsid w:val="00113ACE"/>
    <w:rsid w:val="0011599F"/>
    <w:rsid w:val="00130C66"/>
    <w:rsid w:val="00135DCB"/>
    <w:rsid w:val="00136AFC"/>
    <w:rsid w:val="00140B09"/>
    <w:rsid w:val="0014195D"/>
    <w:rsid w:val="00146810"/>
    <w:rsid w:val="00150594"/>
    <w:rsid w:val="00151C70"/>
    <w:rsid w:val="00152177"/>
    <w:rsid w:val="00153575"/>
    <w:rsid w:val="0016270A"/>
    <w:rsid w:val="00173719"/>
    <w:rsid w:val="00193E95"/>
    <w:rsid w:val="001B5636"/>
    <w:rsid w:val="001B7D0C"/>
    <w:rsid w:val="001C1BC6"/>
    <w:rsid w:val="001C63BE"/>
    <w:rsid w:val="001E344C"/>
    <w:rsid w:val="001E4A34"/>
    <w:rsid w:val="001E4E25"/>
    <w:rsid w:val="001F0CA1"/>
    <w:rsid w:val="001F0E21"/>
    <w:rsid w:val="001F4DCF"/>
    <w:rsid w:val="0020154A"/>
    <w:rsid w:val="0020448F"/>
    <w:rsid w:val="0020492B"/>
    <w:rsid w:val="00206708"/>
    <w:rsid w:val="002201C5"/>
    <w:rsid w:val="00227247"/>
    <w:rsid w:val="00245457"/>
    <w:rsid w:val="00247CA3"/>
    <w:rsid w:val="00250424"/>
    <w:rsid w:val="00250FFE"/>
    <w:rsid w:val="002510FA"/>
    <w:rsid w:val="00263020"/>
    <w:rsid w:val="00266EE3"/>
    <w:rsid w:val="00271E6F"/>
    <w:rsid w:val="0027259B"/>
    <w:rsid w:val="002807B2"/>
    <w:rsid w:val="002824E8"/>
    <w:rsid w:val="002960C7"/>
    <w:rsid w:val="002974BA"/>
    <w:rsid w:val="002A46F5"/>
    <w:rsid w:val="002B1F34"/>
    <w:rsid w:val="002B3D10"/>
    <w:rsid w:val="002C03BF"/>
    <w:rsid w:val="002C57C8"/>
    <w:rsid w:val="002C79BD"/>
    <w:rsid w:val="002D0DD0"/>
    <w:rsid w:val="002D4E60"/>
    <w:rsid w:val="002E17ED"/>
    <w:rsid w:val="002E2EE9"/>
    <w:rsid w:val="002F3136"/>
    <w:rsid w:val="002F5568"/>
    <w:rsid w:val="002F6076"/>
    <w:rsid w:val="0030068B"/>
    <w:rsid w:val="00304574"/>
    <w:rsid w:val="00304E22"/>
    <w:rsid w:val="0032014A"/>
    <w:rsid w:val="00321A1E"/>
    <w:rsid w:val="003241D4"/>
    <w:rsid w:val="00326D8D"/>
    <w:rsid w:val="00327C22"/>
    <w:rsid w:val="00333F84"/>
    <w:rsid w:val="00335498"/>
    <w:rsid w:val="00335BC1"/>
    <w:rsid w:val="003371EA"/>
    <w:rsid w:val="0035031C"/>
    <w:rsid w:val="003519CA"/>
    <w:rsid w:val="00360AA5"/>
    <w:rsid w:val="00361F6C"/>
    <w:rsid w:val="00363C29"/>
    <w:rsid w:val="00366ED6"/>
    <w:rsid w:val="003751A4"/>
    <w:rsid w:val="00375E1D"/>
    <w:rsid w:val="003801EF"/>
    <w:rsid w:val="00390FAD"/>
    <w:rsid w:val="003A7515"/>
    <w:rsid w:val="003A7D28"/>
    <w:rsid w:val="003C0D77"/>
    <w:rsid w:val="003C39F0"/>
    <w:rsid w:val="003D6DC6"/>
    <w:rsid w:val="003E096E"/>
    <w:rsid w:val="003E1882"/>
    <w:rsid w:val="003E1A70"/>
    <w:rsid w:val="003E64B1"/>
    <w:rsid w:val="003E6BFA"/>
    <w:rsid w:val="003F129D"/>
    <w:rsid w:val="00403154"/>
    <w:rsid w:val="00420820"/>
    <w:rsid w:val="004213EA"/>
    <w:rsid w:val="00421F0B"/>
    <w:rsid w:val="0043095E"/>
    <w:rsid w:val="0043761B"/>
    <w:rsid w:val="00440968"/>
    <w:rsid w:val="00443883"/>
    <w:rsid w:val="00452346"/>
    <w:rsid w:val="00460A69"/>
    <w:rsid w:val="004630DE"/>
    <w:rsid w:val="0048255F"/>
    <w:rsid w:val="00493857"/>
    <w:rsid w:val="004A2399"/>
    <w:rsid w:val="004A6BA1"/>
    <w:rsid w:val="004B0BB2"/>
    <w:rsid w:val="004B35FD"/>
    <w:rsid w:val="004B4B06"/>
    <w:rsid w:val="004B5864"/>
    <w:rsid w:val="004B786B"/>
    <w:rsid w:val="004C00C2"/>
    <w:rsid w:val="004C721B"/>
    <w:rsid w:val="004D2EB2"/>
    <w:rsid w:val="004F3DB3"/>
    <w:rsid w:val="00500FDB"/>
    <w:rsid w:val="00501B53"/>
    <w:rsid w:val="005056FA"/>
    <w:rsid w:val="005117E0"/>
    <w:rsid w:val="005262EA"/>
    <w:rsid w:val="005337EA"/>
    <w:rsid w:val="005351C2"/>
    <w:rsid w:val="0053588C"/>
    <w:rsid w:val="00536C22"/>
    <w:rsid w:val="00540444"/>
    <w:rsid w:val="00542A49"/>
    <w:rsid w:val="00544449"/>
    <w:rsid w:val="00553348"/>
    <w:rsid w:val="00556173"/>
    <w:rsid w:val="00556F78"/>
    <w:rsid w:val="00563384"/>
    <w:rsid w:val="005635B4"/>
    <w:rsid w:val="005706C2"/>
    <w:rsid w:val="005716D1"/>
    <w:rsid w:val="00572D45"/>
    <w:rsid w:val="00573034"/>
    <w:rsid w:val="005761B7"/>
    <w:rsid w:val="0058747A"/>
    <w:rsid w:val="005A6D5D"/>
    <w:rsid w:val="005B19E9"/>
    <w:rsid w:val="005B3A6B"/>
    <w:rsid w:val="005B79DA"/>
    <w:rsid w:val="005C11F8"/>
    <w:rsid w:val="005C467E"/>
    <w:rsid w:val="005D3BE6"/>
    <w:rsid w:val="005E7B2F"/>
    <w:rsid w:val="005F0E34"/>
    <w:rsid w:val="005F0F97"/>
    <w:rsid w:val="005F1068"/>
    <w:rsid w:val="005F13E6"/>
    <w:rsid w:val="005F2321"/>
    <w:rsid w:val="005F65C6"/>
    <w:rsid w:val="005F72A4"/>
    <w:rsid w:val="006031CB"/>
    <w:rsid w:val="00614F27"/>
    <w:rsid w:val="00617D2D"/>
    <w:rsid w:val="00624C17"/>
    <w:rsid w:val="00647D79"/>
    <w:rsid w:val="00653B30"/>
    <w:rsid w:val="00655547"/>
    <w:rsid w:val="006709F2"/>
    <w:rsid w:val="0067698F"/>
    <w:rsid w:val="00680070"/>
    <w:rsid w:val="006842CE"/>
    <w:rsid w:val="0068569A"/>
    <w:rsid w:val="00692B38"/>
    <w:rsid w:val="0069363F"/>
    <w:rsid w:val="006A5040"/>
    <w:rsid w:val="006B10E7"/>
    <w:rsid w:val="006C21F6"/>
    <w:rsid w:val="006C3D2E"/>
    <w:rsid w:val="006C5433"/>
    <w:rsid w:val="006C5585"/>
    <w:rsid w:val="006D1318"/>
    <w:rsid w:val="006D616D"/>
    <w:rsid w:val="00704F77"/>
    <w:rsid w:val="00707467"/>
    <w:rsid w:val="00712717"/>
    <w:rsid w:val="00721740"/>
    <w:rsid w:val="00722108"/>
    <w:rsid w:val="00724309"/>
    <w:rsid w:val="007279F2"/>
    <w:rsid w:val="00736E31"/>
    <w:rsid w:val="00737489"/>
    <w:rsid w:val="00742A42"/>
    <w:rsid w:val="00750635"/>
    <w:rsid w:val="00752BDD"/>
    <w:rsid w:val="007549B0"/>
    <w:rsid w:val="007571BD"/>
    <w:rsid w:val="00757CCE"/>
    <w:rsid w:val="00760D47"/>
    <w:rsid w:val="00774E97"/>
    <w:rsid w:val="007758E1"/>
    <w:rsid w:val="00795586"/>
    <w:rsid w:val="007A3DA7"/>
    <w:rsid w:val="007A42A5"/>
    <w:rsid w:val="007B19CD"/>
    <w:rsid w:val="007B4E46"/>
    <w:rsid w:val="007C2145"/>
    <w:rsid w:val="007C325B"/>
    <w:rsid w:val="007C60CF"/>
    <w:rsid w:val="007D1549"/>
    <w:rsid w:val="007D767C"/>
    <w:rsid w:val="007E0963"/>
    <w:rsid w:val="007E17F3"/>
    <w:rsid w:val="007E3110"/>
    <w:rsid w:val="007E34C2"/>
    <w:rsid w:val="00800BF0"/>
    <w:rsid w:val="008054E4"/>
    <w:rsid w:val="008115E0"/>
    <w:rsid w:val="008140A8"/>
    <w:rsid w:val="00815FD1"/>
    <w:rsid w:val="008178CB"/>
    <w:rsid w:val="0082309A"/>
    <w:rsid w:val="0083274A"/>
    <w:rsid w:val="0084527E"/>
    <w:rsid w:val="008517C2"/>
    <w:rsid w:val="0085714F"/>
    <w:rsid w:val="0086102E"/>
    <w:rsid w:val="00870511"/>
    <w:rsid w:val="00884E4D"/>
    <w:rsid w:val="008876A1"/>
    <w:rsid w:val="00891A8D"/>
    <w:rsid w:val="00897E0D"/>
    <w:rsid w:val="008A6B5A"/>
    <w:rsid w:val="008B2AB9"/>
    <w:rsid w:val="008B452B"/>
    <w:rsid w:val="008B6F10"/>
    <w:rsid w:val="008C1FBF"/>
    <w:rsid w:val="008D6B2C"/>
    <w:rsid w:val="008E0137"/>
    <w:rsid w:val="00902EFD"/>
    <w:rsid w:val="00930E01"/>
    <w:rsid w:val="00936326"/>
    <w:rsid w:val="00940AC5"/>
    <w:rsid w:val="009431F2"/>
    <w:rsid w:val="0094515E"/>
    <w:rsid w:val="00951DE0"/>
    <w:rsid w:val="00953978"/>
    <w:rsid w:val="00953BB9"/>
    <w:rsid w:val="00961284"/>
    <w:rsid w:val="00962302"/>
    <w:rsid w:val="009746AE"/>
    <w:rsid w:val="00981542"/>
    <w:rsid w:val="00997F35"/>
    <w:rsid w:val="009A0E40"/>
    <w:rsid w:val="009A1363"/>
    <w:rsid w:val="009A13C2"/>
    <w:rsid w:val="009A2ECA"/>
    <w:rsid w:val="009C4425"/>
    <w:rsid w:val="009D063D"/>
    <w:rsid w:val="009D2D8F"/>
    <w:rsid w:val="009E483E"/>
    <w:rsid w:val="009E53B2"/>
    <w:rsid w:val="009E5E6E"/>
    <w:rsid w:val="009E649C"/>
    <w:rsid w:val="009E7596"/>
    <w:rsid w:val="009F57C9"/>
    <w:rsid w:val="00A02ECE"/>
    <w:rsid w:val="00A07611"/>
    <w:rsid w:val="00A1639F"/>
    <w:rsid w:val="00A25A74"/>
    <w:rsid w:val="00A26561"/>
    <w:rsid w:val="00A32D04"/>
    <w:rsid w:val="00A33A68"/>
    <w:rsid w:val="00A34FE6"/>
    <w:rsid w:val="00A367E4"/>
    <w:rsid w:val="00A531EB"/>
    <w:rsid w:val="00A61A0C"/>
    <w:rsid w:val="00A64908"/>
    <w:rsid w:val="00A77B61"/>
    <w:rsid w:val="00A811DE"/>
    <w:rsid w:val="00A87C95"/>
    <w:rsid w:val="00A93028"/>
    <w:rsid w:val="00A938E0"/>
    <w:rsid w:val="00A973BD"/>
    <w:rsid w:val="00AA1E9A"/>
    <w:rsid w:val="00AA331C"/>
    <w:rsid w:val="00AB5CB0"/>
    <w:rsid w:val="00AB625A"/>
    <w:rsid w:val="00AC340D"/>
    <w:rsid w:val="00AD2AF3"/>
    <w:rsid w:val="00AE1642"/>
    <w:rsid w:val="00AE5FFF"/>
    <w:rsid w:val="00AF4CD4"/>
    <w:rsid w:val="00AF695A"/>
    <w:rsid w:val="00B00997"/>
    <w:rsid w:val="00B143B8"/>
    <w:rsid w:val="00B15985"/>
    <w:rsid w:val="00B20EE6"/>
    <w:rsid w:val="00B33385"/>
    <w:rsid w:val="00B3666C"/>
    <w:rsid w:val="00B36B31"/>
    <w:rsid w:val="00B36E1B"/>
    <w:rsid w:val="00B37C99"/>
    <w:rsid w:val="00B40C3F"/>
    <w:rsid w:val="00B44071"/>
    <w:rsid w:val="00B505B0"/>
    <w:rsid w:val="00B65ED1"/>
    <w:rsid w:val="00B664ED"/>
    <w:rsid w:val="00B66BE4"/>
    <w:rsid w:val="00B67A27"/>
    <w:rsid w:val="00B76EB6"/>
    <w:rsid w:val="00B845C7"/>
    <w:rsid w:val="00B8693B"/>
    <w:rsid w:val="00B94E8C"/>
    <w:rsid w:val="00BA0920"/>
    <w:rsid w:val="00BB50A1"/>
    <w:rsid w:val="00BC43B3"/>
    <w:rsid w:val="00BC6C76"/>
    <w:rsid w:val="00BD7D2B"/>
    <w:rsid w:val="00BE2E53"/>
    <w:rsid w:val="00BF35F7"/>
    <w:rsid w:val="00C03048"/>
    <w:rsid w:val="00C03889"/>
    <w:rsid w:val="00C039A5"/>
    <w:rsid w:val="00C17E51"/>
    <w:rsid w:val="00C237DD"/>
    <w:rsid w:val="00C23C28"/>
    <w:rsid w:val="00C24A8F"/>
    <w:rsid w:val="00C34F5F"/>
    <w:rsid w:val="00C40D82"/>
    <w:rsid w:val="00C41217"/>
    <w:rsid w:val="00C50112"/>
    <w:rsid w:val="00C64C10"/>
    <w:rsid w:val="00C66A7E"/>
    <w:rsid w:val="00C77B4F"/>
    <w:rsid w:val="00C823E1"/>
    <w:rsid w:val="00C925C6"/>
    <w:rsid w:val="00C963B7"/>
    <w:rsid w:val="00C96E1A"/>
    <w:rsid w:val="00C96EFC"/>
    <w:rsid w:val="00CA08BF"/>
    <w:rsid w:val="00CC26C4"/>
    <w:rsid w:val="00CC39DE"/>
    <w:rsid w:val="00CC3DBA"/>
    <w:rsid w:val="00CD25A1"/>
    <w:rsid w:val="00CD7CB1"/>
    <w:rsid w:val="00CE3673"/>
    <w:rsid w:val="00CE3EC7"/>
    <w:rsid w:val="00CE49D1"/>
    <w:rsid w:val="00CE4A4B"/>
    <w:rsid w:val="00CE51B2"/>
    <w:rsid w:val="00CF7CFC"/>
    <w:rsid w:val="00D077AA"/>
    <w:rsid w:val="00D12705"/>
    <w:rsid w:val="00D129C1"/>
    <w:rsid w:val="00D15B97"/>
    <w:rsid w:val="00D243EC"/>
    <w:rsid w:val="00D279D4"/>
    <w:rsid w:val="00D44320"/>
    <w:rsid w:val="00D44505"/>
    <w:rsid w:val="00D52F96"/>
    <w:rsid w:val="00D60B34"/>
    <w:rsid w:val="00D62076"/>
    <w:rsid w:val="00D67B8B"/>
    <w:rsid w:val="00D860D5"/>
    <w:rsid w:val="00D903C8"/>
    <w:rsid w:val="00DA0A9E"/>
    <w:rsid w:val="00DA67F6"/>
    <w:rsid w:val="00DA7E0A"/>
    <w:rsid w:val="00DB158C"/>
    <w:rsid w:val="00DB1F98"/>
    <w:rsid w:val="00DC44F4"/>
    <w:rsid w:val="00DD00FB"/>
    <w:rsid w:val="00DE3D6F"/>
    <w:rsid w:val="00DF4B00"/>
    <w:rsid w:val="00DF4E4C"/>
    <w:rsid w:val="00E04969"/>
    <w:rsid w:val="00E20B6D"/>
    <w:rsid w:val="00E276A4"/>
    <w:rsid w:val="00E277C9"/>
    <w:rsid w:val="00E347E0"/>
    <w:rsid w:val="00E50C7C"/>
    <w:rsid w:val="00E52FE4"/>
    <w:rsid w:val="00E53156"/>
    <w:rsid w:val="00E61454"/>
    <w:rsid w:val="00E658A0"/>
    <w:rsid w:val="00E702D8"/>
    <w:rsid w:val="00E71A7A"/>
    <w:rsid w:val="00E75819"/>
    <w:rsid w:val="00E82838"/>
    <w:rsid w:val="00E85AA7"/>
    <w:rsid w:val="00E9602A"/>
    <w:rsid w:val="00EB4BC5"/>
    <w:rsid w:val="00EB519F"/>
    <w:rsid w:val="00EC5A40"/>
    <w:rsid w:val="00ED3B2D"/>
    <w:rsid w:val="00ED5C92"/>
    <w:rsid w:val="00EF0F51"/>
    <w:rsid w:val="00EF2098"/>
    <w:rsid w:val="00EF32C1"/>
    <w:rsid w:val="00EF5B27"/>
    <w:rsid w:val="00EF6507"/>
    <w:rsid w:val="00F03A37"/>
    <w:rsid w:val="00F1125A"/>
    <w:rsid w:val="00F11C72"/>
    <w:rsid w:val="00F16AEF"/>
    <w:rsid w:val="00F20D8F"/>
    <w:rsid w:val="00F22605"/>
    <w:rsid w:val="00F22ECA"/>
    <w:rsid w:val="00F2669C"/>
    <w:rsid w:val="00F27579"/>
    <w:rsid w:val="00F3438D"/>
    <w:rsid w:val="00F3637A"/>
    <w:rsid w:val="00F44474"/>
    <w:rsid w:val="00F5283C"/>
    <w:rsid w:val="00F54AAD"/>
    <w:rsid w:val="00F568D9"/>
    <w:rsid w:val="00F62E2E"/>
    <w:rsid w:val="00F6364F"/>
    <w:rsid w:val="00F63967"/>
    <w:rsid w:val="00F76F2C"/>
    <w:rsid w:val="00F8161B"/>
    <w:rsid w:val="00F93C5C"/>
    <w:rsid w:val="00F9491D"/>
    <w:rsid w:val="00FA0F76"/>
    <w:rsid w:val="00FB0D44"/>
    <w:rsid w:val="00FB41D2"/>
    <w:rsid w:val="00FC7F87"/>
    <w:rsid w:val="00FD11BD"/>
    <w:rsid w:val="00FD1EB8"/>
    <w:rsid w:val="00FD3820"/>
    <w:rsid w:val="00FD5658"/>
    <w:rsid w:val="00FD57B3"/>
    <w:rsid w:val="00FD6FC2"/>
    <w:rsid w:val="00FE0842"/>
    <w:rsid w:val="00FE1012"/>
    <w:rsid w:val="00FE479D"/>
    <w:rsid w:val="00FF6C26"/>
    <w:rsid w:val="00FF76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252973851">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177228506">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522162229">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 w:id="191072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informacao.rs.gov.br/tutorial-de-classificacao-de-inform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deinformacao.rs.gov.br/tutorial-de-classificacao-de-informacoes" TargetMode="External"/><Relationship Id="rId4" Type="http://schemas.openxmlformats.org/officeDocument/2006/relationships/settings" Target="settings.xml"/><Relationship Id="rId9" Type="http://schemas.openxmlformats.org/officeDocument/2006/relationships/hyperlink" Target="http://www.centraldeinformacao.rs.gov.br/tutorial-de-classificacao-de-informaco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8570-7434-45F3-803F-4C88E9F1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3951</Words>
  <Characters>21340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17</cp:revision>
  <cp:lastPrinted>2018-12-04T19:04:00Z</cp:lastPrinted>
  <dcterms:created xsi:type="dcterms:W3CDTF">2022-11-27T14:03:00Z</dcterms:created>
  <dcterms:modified xsi:type="dcterms:W3CDTF">2022-12-28T19:05:00Z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