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ABA0" w14:textId="6F8983FD" w:rsidR="00034730" w:rsidRPr="00144ECC" w:rsidRDefault="00474D7C">
      <w:pPr>
        <w:ind w:left="2268"/>
        <w:rPr>
          <w:color w:val="auto"/>
        </w:rPr>
      </w:pPr>
      <w:r w:rsidRPr="00144ECC">
        <w:rPr>
          <w:rFonts w:eastAsia="Arial"/>
          <w:b/>
          <w:bCs/>
          <w:color w:val="auto"/>
        </w:rPr>
        <w:t xml:space="preserve">RECURSO. PEDIDO DE ACESSO À INFORMAÇÃO. SOLICITAÇÃO DE </w:t>
      </w:r>
      <w:r w:rsidRPr="00144ECC">
        <w:rPr>
          <w:b/>
          <w:color w:val="auto"/>
        </w:rPr>
        <w:t xml:space="preserve">INFORMAÇÕES REFERENTES AO CONTRATO Nº 2025/022358 (CONSÓRCIO HDATT – ELDORADO), QUE TRATA DA ATUALIZAÇÃO DOS ANTEPROJETOS DE ENGENHARIA DO SISTEMA DE PROTEÇÃO CONTRA CHEIAS DE ELDORADO DO SUL – FORNECIMENTO DE DOCUMENTOS TÉCNICOS REFERENTES À CONTRATAÇÃO E INFORMAÇÕES OBJETIVAS ATINENTES AO RESPECTIVO PROCESSO. Negativa de acesso </w:t>
      </w:r>
      <w:r w:rsidR="004E5DCA" w:rsidRPr="00144ECC">
        <w:rPr>
          <w:b/>
          <w:color w:val="auto"/>
        </w:rPr>
        <w:t>fundamentada</w:t>
      </w:r>
      <w:r w:rsidRPr="00144ECC">
        <w:rPr>
          <w:b/>
          <w:color w:val="auto"/>
        </w:rPr>
        <w:t xml:space="preserve"> pelo órgão recorrido com base no art. 7º, § 3º da Lei nº 12.527/2011. Necessidade de </w:t>
      </w:r>
      <w:r w:rsidRPr="00144ECC">
        <w:rPr>
          <w:rFonts w:eastAsia="Arial"/>
          <w:b/>
          <w:color w:val="auto"/>
        </w:rPr>
        <w:t xml:space="preserve">distinguir aqueles documentos e informações que, de fato, se destinam a embasar a futura decisão administrativa daqueles outros elementos que possuem caráter meramente circunstancial e não estão acobertados por qualquer hipótese de sigilo, devendo ser, desde logo, disponibilizados ao cidadão. Aplicação da </w:t>
      </w:r>
      <w:r w:rsidRPr="00144ECC">
        <w:rPr>
          <w:b/>
          <w:color w:val="auto"/>
        </w:rPr>
        <w:t>Súmula 08 da CMRI. R</w:t>
      </w:r>
      <w:r w:rsidRPr="00144ECC">
        <w:rPr>
          <w:rFonts w:eastAsia="Arial"/>
          <w:b/>
          <w:bCs/>
          <w:color w:val="auto"/>
        </w:rPr>
        <w:t>ECURSO PARCIALMENTE PROVIDO.</w:t>
      </w:r>
    </w:p>
    <w:p w14:paraId="454BABA1" w14:textId="77777777" w:rsidR="00034730" w:rsidRPr="00144ECC" w:rsidRDefault="00034730">
      <w:pPr>
        <w:ind w:left="2268"/>
        <w:rPr>
          <w:color w:val="auto"/>
        </w:rPr>
      </w:pPr>
    </w:p>
    <w:tbl>
      <w:tblPr>
        <w:tblW w:w="86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2"/>
        <w:gridCol w:w="4323"/>
      </w:tblGrid>
      <w:tr w:rsidR="00034730" w:rsidRPr="00144ECC" w14:paraId="454BABA6" w14:textId="77777777">
        <w:trPr>
          <w:trHeight w:val="543"/>
        </w:trPr>
        <w:tc>
          <w:tcPr>
            <w:tcW w:w="4322" w:type="dxa"/>
          </w:tcPr>
          <w:p w14:paraId="454BABA2" w14:textId="77777777" w:rsidR="00034730" w:rsidRPr="00144ECC" w:rsidRDefault="00034730">
            <w:pPr>
              <w:pStyle w:val="DadosCadastrais"/>
              <w:widowControl w:val="0"/>
              <w:rPr>
                <w:color w:val="auto"/>
              </w:rPr>
            </w:pPr>
          </w:p>
          <w:p w14:paraId="454BABA3" w14:textId="77777777" w:rsidR="00034730" w:rsidRPr="00144ECC" w:rsidRDefault="00474D7C">
            <w:pPr>
              <w:pStyle w:val="DadosCadastrais"/>
              <w:widowControl w:val="0"/>
              <w:rPr>
                <w:color w:val="auto"/>
              </w:rPr>
            </w:pPr>
            <w:r w:rsidRPr="00144ECC">
              <w:rPr>
                <w:color w:val="auto"/>
              </w:rPr>
              <w:t>RECURSO</w:t>
            </w:r>
          </w:p>
          <w:p w14:paraId="454BABA4" w14:textId="77777777" w:rsidR="00034730" w:rsidRPr="00144ECC" w:rsidRDefault="00034730">
            <w:pPr>
              <w:pStyle w:val="DadosCadastrais"/>
              <w:widowControl w:val="0"/>
              <w:rPr>
                <w:color w:val="auto"/>
              </w:rPr>
            </w:pPr>
          </w:p>
        </w:tc>
        <w:tc>
          <w:tcPr>
            <w:tcW w:w="4323" w:type="dxa"/>
          </w:tcPr>
          <w:p w14:paraId="454BABA5" w14:textId="77777777" w:rsidR="00034730" w:rsidRPr="00144ECC" w:rsidRDefault="00034730">
            <w:pPr>
              <w:pStyle w:val="DadosCadastrais"/>
              <w:widowControl w:val="0"/>
              <w:jc w:val="right"/>
              <w:rPr>
                <w:color w:val="auto"/>
              </w:rPr>
            </w:pPr>
          </w:p>
        </w:tc>
      </w:tr>
      <w:tr w:rsidR="00034730" w:rsidRPr="00144ECC" w14:paraId="454BABAB" w14:textId="77777777">
        <w:tc>
          <w:tcPr>
            <w:tcW w:w="4322" w:type="dxa"/>
          </w:tcPr>
          <w:p w14:paraId="454BABA7" w14:textId="77777777" w:rsidR="00034730" w:rsidRPr="00144ECC" w:rsidRDefault="00474D7C">
            <w:pPr>
              <w:pStyle w:val="DadosCadastrais"/>
              <w:widowControl w:val="0"/>
              <w:rPr>
                <w:color w:val="auto"/>
              </w:rPr>
            </w:pPr>
            <w:r w:rsidRPr="00144ECC">
              <w:rPr>
                <w:color w:val="auto"/>
              </w:rPr>
              <w:t xml:space="preserve">DEMANDA Nº </w:t>
            </w:r>
            <w:r w:rsidRPr="00144ECC">
              <w:rPr>
                <w:rFonts w:eastAsia="Arial"/>
                <w:color w:val="auto"/>
              </w:rPr>
              <w:t>51.549</w:t>
            </w:r>
          </w:p>
          <w:p w14:paraId="454BABA8" w14:textId="77777777" w:rsidR="00034730" w:rsidRPr="00144ECC" w:rsidRDefault="00034730">
            <w:pPr>
              <w:pStyle w:val="DadosCadastrais"/>
              <w:widowControl w:val="0"/>
              <w:rPr>
                <w:color w:val="auto"/>
              </w:rPr>
            </w:pPr>
          </w:p>
        </w:tc>
        <w:tc>
          <w:tcPr>
            <w:tcW w:w="4323" w:type="dxa"/>
          </w:tcPr>
          <w:p w14:paraId="454BABA9" w14:textId="77777777" w:rsidR="00034730" w:rsidRPr="00144ECC" w:rsidRDefault="00474D7C">
            <w:pPr>
              <w:pStyle w:val="DadosCadastrais"/>
              <w:widowControl w:val="0"/>
              <w:jc w:val="right"/>
              <w:rPr>
                <w:color w:val="auto"/>
              </w:rPr>
            </w:pPr>
            <w:r w:rsidRPr="00144ECC">
              <w:rPr>
                <w:color w:val="auto"/>
              </w:rPr>
              <w:t>SEDUR</w:t>
            </w:r>
          </w:p>
          <w:p w14:paraId="454BABAA" w14:textId="77777777" w:rsidR="00034730" w:rsidRPr="00144ECC" w:rsidRDefault="00034730">
            <w:pPr>
              <w:pStyle w:val="DadosCadastrais"/>
              <w:widowControl w:val="0"/>
              <w:jc w:val="right"/>
              <w:rPr>
                <w:color w:val="auto"/>
              </w:rPr>
            </w:pPr>
          </w:p>
        </w:tc>
      </w:tr>
      <w:tr w:rsidR="00034730" w:rsidRPr="00144ECC" w14:paraId="454BABAE" w14:textId="77777777">
        <w:tc>
          <w:tcPr>
            <w:tcW w:w="4322" w:type="dxa"/>
          </w:tcPr>
          <w:p w14:paraId="454BABAC" w14:textId="77777777" w:rsidR="00034730" w:rsidRPr="00144ECC" w:rsidRDefault="00474D7C">
            <w:pPr>
              <w:pStyle w:val="DadosCadastrais"/>
              <w:widowControl w:val="0"/>
              <w:tabs>
                <w:tab w:val="clear" w:pos="8505"/>
                <w:tab w:val="left" w:pos="2670"/>
              </w:tabs>
              <w:rPr>
                <w:color w:val="auto"/>
              </w:rPr>
            </w:pPr>
            <w:r w:rsidRPr="00144ECC">
              <w:rPr>
                <w:color w:val="auto"/>
              </w:rPr>
              <w:t>CRISTOL DE PAIVA GOUVEA</w:t>
            </w:r>
          </w:p>
        </w:tc>
        <w:tc>
          <w:tcPr>
            <w:tcW w:w="4323" w:type="dxa"/>
          </w:tcPr>
          <w:p w14:paraId="454BABAD" w14:textId="77777777" w:rsidR="00034730" w:rsidRPr="00144ECC" w:rsidRDefault="00474D7C">
            <w:pPr>
              <w:pStyle w:val="DadosCadastrais"/>
              <w:widowControl w:val="0"/>
              <w:jc w:val="right"/>
              <w:rPr>
                <w:color w:val="auto"/>
              </w:rPr>
            </w:pPr>
            <w:r w:rsidRPr="00144ECC">
              <w:rPr>
                <w:color w:val="auto"/>
              </w:rPr>
              <w:t>RECORRENTE</w:t>
            </w:r>
          </w:p>
        </w:tc>
      </w:tr>
      <w:tr w:rsidR="00034730" w:rsidRPr="00144ECC" w14:paraId="454BABB1" w14:textId="77777777">
        <w:tc>
          <w:tcPr>
            <w:tcW w:w="4322" w:type="dxa"/>
          </w:tcPr>
          <w:p w14:paraId="454BABAF" w14:textId="77777777" w:rsidR="00034730" w:rsidRPr="00144ECC" w:rsidRDefault="00034730">
            <w:pPr>
              <w:pStyle w:val="DadosCadastrais"/>
              <w:widowControl w:val="0"/>
              <w:rPr>
                <w:color w:val="auto"/>
              </w:rPr>
            </w:pPr>
          </w:p>
        </w:tc>
        <w:tc>
          <w:tcPr>
            <w:tcW w:w="4323" w:type="dxa"/>
          </w:tcPr>
          <w:p w14:paraId="454BABB0" w14:textId="77777777" w:rsidR="00034730" w:rsidRPr="00144ECC" w:rsidRDefault="00034730">
            <w:pPr>
              <w:pStyle w:val="DadosCadastrais"/>
              <w:widowControl w:val="0"/>
              <w:jc w:val="right"/>
              <w:rPr>
                <w:color w:val="auto"/>
              </w:rPr>
            </w:pPr>
          </w:p>
        </w:tc>
      </w:tr>
    </w:tbl>
    <w:p w14:paraId="454BABB2" w14:textId="77777777" w:rsidR="00034730" w:rsidRPr="00144ECC" w:rsidRDefault="00034730">
      <w:pPr>
        <w:rPr>
          <w:color w:val="auto"/>
        </w:rPr>
      </w:pPr>
    </w:p>
    <w:p w14:paraId="454BABB3" w14:textId="77777777" w:rsidR="00034730" w:rsidRPr="00144ECC" w:rsidRDefault="00034730">
      <w:pPr>
        <w:rPr>
          <w:color w:val="auto"/>
        </w:rPr>
      </w:pPr>
    </w:p>
    <w:p w14:paraId="454BABB4" w14:textId="77777777" w:rsidR="00034730" w:rsidRPr="00144ECC" w:rsidRDefault="00474D7C">
      <w:pPr>
        <w:pStyle w:val="TtuloPrincipal"/>
        <w:rPr>
          <w:rFonts w:eastAsia="Arial"/>
          <w:color w:val="auto"/>
        </w:rPr>
      </w:pPr>
      <w:r w:rsidRPr="00144ECC">
        <w:rPr>
          <w:rFonts w:eastAsia="Arial"/>
          <w:color w:val="auto"/>
        </w:rPr>
        <w:t>DECISÃO</w:t>
      </w:r>
    </w:p>
    <w:p w14:paraId="454BABB5" w14:textId="77777777" w:rsidR="00034730" w:rsidRPr="00144ECC" w:rsidRDefault="00474D7C">
      <w:pPr>
        <w:pStyle w:val="PargrafoNormal"/>
        <w:rPr>
          <w:rFonts w:eastAsia="Arial"/>
          <w:color w:val="auto"/>
        </w:rPr>
      </w:pPr>
      <w:r w:rsidRPr="00144ECC">
        <w:rPr>
          <w:rFonts w:eastAsia="Arial"/>
          <w:color w:val="auto"/>
        </w:rPr>
        <w:t xml:space="preserve">Vista, relatada e discutida a demanda. </w:t>
      </w:r>
    </w:p>
    <w:p w14:paraId="454BABB6" w14:textId="77777777" w:rsidR="00034730" w:rsidRPr="00144ECC" w:rsidRDefault="00474D7C">
      <w:pPr>
        <w:pStyle w:val="PargrafoNormal"/>
        <w:spacing w:after="0"/>
        <w:rPr>
          <w:rFonts w:eastAsia="Arial"/>
          <w:color w:val="auto"/>
        </w:rPr>
      </w:pPr>
      <w:r w:rsidRPr="00144ECC">
        <w:rPr>
          <w:rFonts w:eastAsia="Arial"/>
          <w:color w:val="auto"/>
        </w:rPr>
        <w:t>Acordam os integrantes da Comissão Mista de Reavaliação de Informações – CMRI/RS, por unanimidade, em dar parcial provimento ao recurso.</w:t>
      </w:r>
    </w:p>
    <w:p w14:paraId="54D76462" w14:textId="77777777" w:rsidR="00144ECC" w:rsidRPr="00144ECC" w:rsidRDefault="00144ECC">
      <w:pPr>
        <w:pStyle w:val="PargrafoNormal"/>
        <w:spacing w:after="0"/>
        <w:rPr>
          <w:rFonts w:eastAsia="Arial"/>
          <w:color w:val="auto"/>
        </w:rPr>
      </w:pPr>
    </w:p>
    <w:p w14:paraId="454BABB7" w14:textId="77777777" w:rsidR="00034730" w:rsidRPr="00144ECC" w:rsidRDefault="00474D7C">
      <w:pPr>
        <w:pStyle w:val="PargrafoNormal"/>
        <w:spacing w:after="0"/>
        <w:rPr>
          <w:color w:val="auto"/>
        </w:rPr>
      </w:pPr>
      <w:r w:rsidRPr="00144ECC">
        <w:rPr>
          <w:rFonts w:eastAsia="Arial"/>
          <w:color w:val="auto"/>
        </w:rPr>
        <w:lastRenderedPageBreak/>
        <w:t>Participaram do julgamento, além da signatária, os representantes da Casa Civil, pela Ouvidoria-Geral do Estado; da Procuradoria-Geral do Estado; da Secretaria de Planejamento, Governança e Gestão; da Secretaria da Fazenda, pela Contadoria e Auditoria-Geral do Estado (CAGE); da Secretaria da Saúde; e da Secretaria de Justiça, Cidadania e Direitos Humanos.</w:t>
      </w:r>
    </w:p>
    <w:p w14:paraId="454BABB8" w14:textId="77777777" w:rsidR="00034730" w:rsidRPr="00144ECC" w:rsidRDefault="00034730">
      <w:pPr>
        <w:spacing w:line="360" w:lineRule="auto"/>
        <w:ind w:firstLine="1418"/>
        <w:rPr>
          <w:rFonts w:eastAsia="Arial"/>
          <w:color w:val="auto"/>
        </w:rPr>
      </w:pPr>
    </w:p>
    <w:p w14:paraId="454BABB9" w14:textId="77777777" w:rsidR="00034730" w:rsidRPr="00144ECC" w:rsidRDefault="00474D7C">
      <w:pPr>
        <w:pStyle w:val="PargrafoNormal"/>
        <w:ind w:firstLine="0"/>
        <w:jc w:val="center"/>
        <w:rPr>
          <w:color w:val="auto"/>
        </w:rPr>
      </w:pPr>
      <w:r w:rsidRPr="00144ECC">
        <w:rPr>
          <w:rFonts w:eastAsia="Arial"/>
          <w:color w:val="auto"/>
        </w:rPr>
        <w:t>Porto Alegre, 28 de abril de 2026.</w:t>
      </w:r>
    </w:p>
    <w:p w14:paraId="454BABBA" w14:textId="77777777" w:rsidR="00034730" w:rsidRPr="00144ECC" w:rsidRDefault="00034730">
      <w:pPr>
        <w:rPr>
          <w:rFonts w:eastAsia="Arial"/>
          <w:color w:val="auto"/>
        </w:rPr>
      </w:pPr>
    </w:p>
    <w:p w14:paraId="454BABBB" w14:textId="77777777" w:rsidR="00034730" w:rsidRPr="00144ECC" w:rsidRDefault="00034730">
      <w:pPr>
        <w:rPr>
          <w:rFonts w:eastAsia="Arial"/>
          <w:color w:val="auto"/>
        </w:rPr>
      </w:pPr>
    </w:p>
    <w:p w14:paraId="454BABBC" w14:textId="77777777" w:rsidR="00034730" w:rsidRPr="00144ECC" w:rsidRDefault="00474D7C">
      <w:pPr>
        <w:pStyle w:val="PargrafoNormal"/>
        <w:spacing w:after="0" w:line="240" w:lineRule="auto"/>
        <w:ind w:firstLine="0"/>
        <w:jc w:val="center"/>
        <w:rPr>
          <w:rFonts w:eastAsia="Arial"/>
          <w:b/>
          <w:bCs/>
          <w:color w:val="auto"/>
        </w:rPr>
      </w:pPr>
      <w:r w:rsidRPr="00144ECC">
        <w:rPr>
          <w:rFonts w:eastAsia="Arial"/>
          <w:b/>
          <w:bCs/>
          <w:color w:val="auto"/>
        </w:rPr>
        <w:t>Secretaria de Sistemas Penal e Socioeducativo,</w:t>
      </w:r>
    </w:p>
    <w:p w14:paraId="454BABBD" w14:textId="77777777" w:rsidR="00034730" w:rsidRPr="00144ECC" w:rsidRDefault="00474D7C">
      <w:pPr>
        <w:pStyle w:val="PargrafoNormal"/>
        <w:spacing w:after="0" w:line="240" w:lineRule="auto"/>
        <w:ind w:firstLine="0"/>
        <w:jc w:val="center"/>
        <w:rPr>
          <w:rFonts w:eastAsia="Arial"/>
          <w:b/>
          <w:bCs/>
          <w:color w:val="auto"/>
        </w:rPr>
      </w:pPr>
      <w:r w:rsidRPr="00144ECC">
        <w:rPr>
          <w:rFonts w:eastAsia="Arial"/>
          <w:b/>
          <w:bCs/>
          <w:color w:val="auto"/>
        </w:rPr>
        <w:t>Relatora.</w:t>
      </w:r>
    </w:p>
    <w:p w14:paraId="454BABBE" w14:textId="77777777" w:rsidR="00034730" w:rsidRPr="00144ECC" w:rsidRDefault="00034730">
      <w:pPr>
        <w:pStyle w:val="TtuloPrincipal"/>
        <w:keepNext w:val="0"/>
        <w:rPr>
          <w:color w:val="auto"/>
        </w:rPr>
      </w:pPr>
    </w:p>
    <w:p w14:paraId="454BABBF" w14:textId="77777777" w:rsidR="00034730" w:rsidRPr="00144ECC" w:rsidRDefault="00474D7C">
      <w:pPr>
        <w:pStyle w:val="TtuloPrincipal"/>
        <w:keepNext w:val="0"/>
        <w:rPr>
          <w:color w:val="auto"/>
        </w:rPr>
      </w:pPr>
      <w:r w:rsidRPr="00144ECC">
        <w:rPr>
          <w:color w:val="auto"/>
        </w:rPr>
        <w:t>RELATÓRIO</w:t>
      </w:r>
    </w:p>
    <w:p w14:paraId="454BABC0" w14:textId="77777777" w:rsidR="00034730" w:rsidRPr="00144ECC" w:rsidRDefault="00474D7C">
      <w:pPr>
        <w:pStyle w:val="NomeJulgadorPadro"/>
        <w:rPr>
          <w:b w:val="0"/>
          <w:caps w:val="0"/>
          <w:color w:val="auto"/>
          <w:u w:val="single"/>
        </w:rPr>
      </w:pPr>
      <w:r w:rsidRPr="00144ECC">
        <w:rPr>
          <w:color w:val="auto"/>
          <w:u w:val="single"/>
        </w:rPr>
        <w:t xml:space="preserve">Secretaria de SISTEMAS PENAL E SOCIOEDUCATIVO (RElATORA) </w:t>
      </w:r>
      <w:r w:rsidRPr="00144ECC">
        <w:rPr>
          <w:b w:val="0"/>
          <w:caps w:val="0"/>
          <w:color w:val="auto"/>
          <w:u w:val="single"/>
        </w:rPr>
        <w:t>–</w:t>
      </w:r>
    </w:p>
    <w:p w14:paraId="4715B8DB" w14:textId="77777777" w:rsidR="00144ECC" w:rsidRPr="00144ECC" w:rsidRDefault="00144ECC">
      <w:pPr>
        <w:pStyle w:val="NomeJulgadorPadro"/>
        <w:rPr>
          <w:color w:val="auto"/>
        </w:rPr>
      </w:pPr>
    </w:p>
    <w:p w14:paraId="454BABC1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 xml:space="preserve">Trata-se de recurso em demanda encaminhada por </w:t>
      </w:r>
      <w:proofErr w:type="spellStart"/>
      <w:r w:rsidRPr="00144ECC">
        <w:rPr>
          <w:color w:val="auto"/>
        </w:rPr>
        <w:t>Cristol</w:t>
      </w:r>
      <w:proofErr w:type="spellEnd"/>
      <w:r w:rsidRPr="00144ECC">
        <w:rPr>
          <w:color w:val="auto"/>
        </w:rPr>
        <w:t xml:space="preserve"> de Paiva Gouvea, em 10/03/2026, no qual solicita informações referentes ao Contrato nº 2025/022358 (Consórcio HDATT – Eldorado), que trata da atualização dos anteprojetos de Engenharia do Sistema de Proteção Contra Cheias de Eldorado do Sul, consubstanciadas, em síntese, no fornecimento de documentos técnicos referentes à contratação, bem como informações referentes ao cronograma contratual, data prevista atualizada para lançamento do edital de licitação para elaboração do projeto executivo e execução das obras do Sistema de Proteção Contra cheias de Eldorado do Sul, previsão orçamentária e o valor estimado atualmente previsto, salientando a solicitação de disponibilização integral dos </w:t>
      </w:r>
      <w:r w:rsidRPr="00144ECC">
        <w:rPr>
          <w:color w:val="auto"/>
        </w:rPr>
        <w:lastRenderedPageBreak/>
        <w:t>documentos solicitados, ainda que em versões preliminares, em análise administrativa ou não definitivamente aprovadas, com o seguinte teor:</w:t>
      </w:r>
    </w:p>
    <w:p w14:paraId="454BABC2" w14:textId="77777777" w:rsidR="00034730" w:rsidRPr="00144ECC" w:rsidRDefault="00034730">
      <w:pPr>
        <w:spacing w:line="360" w:lineRule="auto"/>
        <w:ind w:firstLine="1418"/>
        <w:rPr>
          <w:color w:val="auto"/>
        </w:rPr>
      </w:pPr>
    </w:p>
    <w:p w14:paraId="454BABC3" w14:textId="77777777" w:rsidR="00034730" w:rsidRPr="00144ECC" w:rsidRDefault="00474D7C">
      <w:pPr>
        <w:ind w:left="2268"/>
        <w:rPr>
          <w:color w:val="auto"/>
        </w:rPr>
      </w:pPr>
      <w:r w:rsidRPr="00144ECC">
        <w:rPr>
          <w:color w:val="auto"/>
          <w:sz w:val="20"/>
          <w:szCs w:val="20"/>
        </w:rPr>
        <w:t xml:space="preserve">À Secretaria de Desenvolvimento Urbano e Metropolitano do Rio Grande do Sul – SEDUR/RS. Com fundamento na Lei de Acesso à Informação (Lei nº 12.527/2011), solicito as seguintes informações relativas ao Contrato nº 2025/022358 (Consórcio HDATT–Eldorado), que trata da Atualização dos Anteprojetos de Engenharia do Sistema de Proteção Contra Cheias de Eldorado do Sul. A solicitação tem por objetivo informar a comunidade local sobre o andamento do projeto, considerando o elevado interesse público relacionado à proteção contra enchentes. Solicita-se que as respostas sejam apresentadas com dados objetivos, documentos e datas, sempre que disponíveis. SOLICITAÇÃO 1 - Encaminhar cópia integral da versão final aprovada dos seguintes produtos técnicos, conforme recebidos e aprovados pela fiscalização do contrato: • P1 – Plano de Trabalho • P2 Caracterização Hidrológica e de Inundações • P3 – Diagnóstico da área de Implantação do SPCC • P6 – Investigação Geotécnica e Geológica SOLICITAÇÃO 2 - Encaminhar cópia integral dos seguintes produtos já entregues e analisados, ainda que tenham sido devolvidos para revisão, complementação ou correção pela fiscalização do contrato: • P4 Levantamento Batimétrico • P5 – Levantamento Aerofotogramétrico • P7 Levantamento do Sistema de Drenagem • P8 – Cadastro Imobiliário e Socioeconômico • P10 – Estudo de Viabilidade SOLICITAÇÃO 3 - Informar se o produto P9 – Estudos Hidrológicos e Simulações Hidráulicas já foi aprovado, anexando a versão mais recente recebida pela SEDUR, independentemente de aprovação final. SOLICITAÇÃO 4 - Informar se os seguintes produtos foram efetivamente entregues na data prevista (27/02/2026) e encaminhar cópia da versão mais recente dos anteprojetos P11 a P14, mesmo que estejam em análise técnica ou pendentes de ajustes: • P11 – Anteprojeto de diques e estruturas complementares • P12 Anteprojeto de readequação da drenagem • P13 – Anteprojeto de recomposição do sistema viário e estudo urbanístico • P14 – Planilha orçamentária e matriz de risco Caso já tenham sido entregues, informar também a data exata da entrega, a situação da análise técnica pela fiscalização e se há eventuais solicitações de correção feitas ao consórcio. SOLICITAÇÃO 5 – Disponibilizar o produto P15 – Relatório Final e Resumo Executivo recebido, ainda que não tenha sido analisado ou aprovado ou que tenha sido devolvido para revisão pela equipe fiscalizadora do contrato. SOLICITAÇÃO 6 – Sobre as características do sistema de proteção: 6.a) Informar qual será a nova cota de coroamento (altura final) prevista em cada trecho do sistema e a extensão total das barreiras projetadas. 6.b) Informar quantos reservatórios de amortecimento estão previstos no sistema de macrodrenagem, bem como a localização prevista de cada reservatório e a capacidade estimada de armazenamento de </w:t>
      </w:r>
      <w:r w:rsidRPr="00144ECC">
        <w:rPr>
          <w:color w:val="auto"/>
          <w:sz w:val="20"/>
          <w:szCs w:val="20"/>
        </w:rPr>
        <w:lastRenderedPageBreak/>
        <w:t>cada um. 6.c) Informar qual será a capacidade de bombeamento prevista para o sistema, indicando o número de estações de bombeamento e a vazão de projeto de cada estação. SOLICITAÇÃO 7 – Sobre os prazos: 7.a) Qual a data prevista atualizada para a entrega de todos os Produtos previstos no contrato? 7.b) Qual a data prevista para a conclusão da análise e manifestação definitiva de aprovação ou reprovação dos produtos recebidos pela equipe fiscal do contrato? 7.c) Qual a data prevista atualizada para lançamento do edital de licitação para elaboração do projeto executivo e execução das obras do Sistema de Proteção Contra Cheias de Eldorado do Sul? 7.d) Já existe previsão orçamentária estadual ou federal destinada à execução das obras, indicando o orçamento, o órgão responsável, a fonte de recursos e o valor estimado atualmente previsto? Ainda nos termos da Lei nº 12.527/2011, solicita-se que as respostas sejam acompanhadas dos respectivos documentos, relatórios, estudos técnicos, mapas, planilhas e demais registros administrativos existentes. Caso algum dos documentos solicitados seja considerado total ou parcialmente sigiloso, requer-se a indicação expressa do fundamento legal da restrição, bem como a disponibilização das partes não classificadas. Não sendo configurada hipótese legal de sigilo, requer-se a disponibilização integral dos documentos públicos solicitados, ainda que em versões preliminares, em análise administrativa ou não definitivamente aprovadas.</w:t>
      </w:r>
    </w:p>
    <w:p w14:paraId="454BABC4" w14:textId="77777777" w:rsidR="00034730" w:rsidRPr="00144ECC" w:rsidRDefault="00034730">
      <w:pPr>
        <w:spacing w:line="360" w:lineRule="auto"/>
        <w:ind w:left="2268"/>
        <w:rPr>
          <w:color w:val="auto"/>
        </w:rPr>
      </w:pPr>
    </w:p>
    <w:p w14:paraId="454BABC5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>Ato contínuo, a demanda foi enviada à Secretaria de Desenvolvimento Urbano e Metropolitano – SEDUR para manifestação sobre o pedido de informações formulado pelo cidadão e, em 30/03/2026, foi encaminhada a seguinte resposta:</w:t>
      </w:r>
    </w:p>
    <w:p w14:paraId="454BABC6" w14:textId="77777777" w:rsidR="00034730" w:rsidRPr="00144ECC" w:rsidRDefault="00034730">
      <w:pPr>
        <w:spacing w:line="360" w:lineRule="auto"/>
        <w:rPr>
          <w:iCs/>
          <w:color w:val="auto"/>
        </w:rPr>
      </w:pPr>
    </w:p>
    <w:p w14:paraId="454BABC7" w14:textId="77777777" w:rsidR="00034730" w:rsidRPr="00144ECC" w:rsidRDefault="00474D7C">
      <w:pPr>
        <w:ind w:left="2268"/>
        <w:rPr>
          <w:color w:val="auto"/>
        </w:rPr>
      </w:pPr>
      <w:r w:rsidRPr="00144ECC">
        <w:rPr>
          <w:color w:val="auto"/>
          <w:sz w:val="20"/>
          <w:szCs w:val="20"/>
        </w:rPr>
        <w:t xml:space="preserve">Prezado Sr. </w:t>
      </w:r>
      <w:proofErr w:type="spellStart"/>
      <w:r w:rsidRPr="00144ECC">
        <w:rPr>
          <w:color w:val="auto"/>
          <w:sz w:val="20"/>
          <w:szCs w:val="20"/>
        </w:rPr>
        <w:t>Cristol</w:t>
      </w:r>
      <w:proofErr w:type="spellEnd"/>
      <w:r w:rsidRPr="00144ECC">
        <w:rPr>
          <w:color w:val="auto"/>
          <w:sz w:val="20"/>
          <w:szCs w:val="20"/>
        </w:rPr>
        <w:t xml:space="preserve"> de Paiva Gouvea, Em atenção à sua demanda, relativo ao pedido de informação ao Governo do Estado do Rio Grande do Sul, a Secretaria de Desenvolvimento Urbano e Metropolitano – SEDUR agradece o contato e informa que os documentos e produtos técnicos solicitados constituem informações públicas, produzidas no âmbito da execução contratual, as quais se encontram, neste momento, em fase de elaboração e análise técnica pela Fiscalização do Contrato, não estando ainda formalmente aprovadas. Esclarece-se que os referidos materiais possuem natureza preparatória, consistindo em versões preliminares, que podem sofrer ajustes, complementações e alterações substanciais ao longo do processo de avaliação técnica, até a consolidação de sua versão final. Nessas condições, e com vistas a resguardar a fidedignidade, a precisão técnica e a adequada compreensão das informações, o acesso aos documentos encontra-se temporariamente diferido, até a conclusão da análise técnica e a </w:t>
      </w:r>
      <w:r w:rsidRPr="00144ECC">
        <w:rPr>
          <w:color w:val="auto"/>
          <w:sz w:val="20"/>
          <w:szCs w:val="20"/>
        </w:rPr>
        <w:lastRenderedPageBreak/>
        <w:t>formalização da aprovação dos produtos, ocasião em que estarão consolidados como versões definitivas. Ressalta-se que não se trata de informação classificada como sigilosa neste momento, nos termos do artigo 7º, § 3º da Lei nº 12.527/2011, mas de informação pública em fase de elaboração, cuja disponibilização integral será realizada após a finalização das etapas técnicas e administrativas necessárias. Concluído esse processo, os documentos serão encaminhados para sua adequada publicização nos canais oficiais da Secretaria, em observância aos princípios da transparência, da publicidade e do acesso à informação previstos na legislação vigente. Atenciosamente, Secretaria de Desenvolvimento Urbano e Metropolitano – SEDUR</w:t>
      </w:r>
    </w:p>
    <w:p w14:paraId="454BABC8" w14:textId="77777777" w:rsidR="00034730" w:rsidRPr="00144ECC" w:rsidRDefault="00034730">
      <w:pPr>
        <w:spacing w:line="360" w:lineRule="auto"/>
        <w:ind w:firstLine="1418"/>
        <w:rPr>
          <w:color w:val="auto"/>
        </w:rPr>
      </w:pPr>
    </w:p>
    <w:p w14:paraId="454BABC9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>Em 31/03/2026, o cidadão solicitou reexame, alegando, em síntese, que a fundamentação para a negativa dos documentos e informações não se sustenta à luz da LAI, uma vez que o direito de acesso à informação pública abrange não apenas documentos já produzidos, mas também informações objetivas disponíveis à Administração Pública, ainda que: estejam em análise técnica; não tenham sido aprovados definitivamente; sejam considerados versões preliminares; não estejam consolidadas em versão final. Ressaltou, ainda, que a própria resposta afirma não se tratar de informação sigilosa, o que afasta qualquer hipótese legal de restrição integral de acesso. Destacou, ainda, que a resposta não se limitou a negar o acesso a documentos, mas também deixou de fornecer informações objetivas solicitadas, que independem de qualquer aprovação final, tais como prazos atualizados; cronograma de execução; estágio atual do contrato e previsões relacionadas às próximas etapas do projeto. Argumentou que tais informações são de natureza objetiva e devem estar disponíveis à Administração Pública, não podendo ser negadas sob a justificativa genérica de que os documentos ainda não foram concluídos, conforme segue:</w:t>
      </w:r>
    </w:p>
    <w:p w14:paraId="454BABCA" w14:textId="77777777" w:rsidR="00034730" w:rsidRPr="00144ECC" w:rsidRDefault="00034730">
      <w:pPr>
        <w:ind w:firstLine="1418"/>
        <w:rPr>
          <w:color w:val="auto"/>
        </w:rPr>
      </w:pPr>
    </w:p>
    <w:p w14:paraId="454BABCB" w14:textId="77777777" w:rsidR="00034730" w:rsidRPr="00144ECC" w:rsidRDefault="00474D7C">
      <w:pPr>
        <w:ind w:left="2268"/>
        <w:rPr>
          <w:color w:val="auto"/>
        </w:rPr>
      </w:pPr>
      <w:r w:rsidRPr="00144ECC">
        <w:rPr>
          <w:color w:val="auto"/>
          <w:sz w:val="20"/>
          <w:szCs w:val="20"/>
        </w:rPr>
        <w:t xml:space="preserve">Prezado, </w:t>
      </w:r>
      <w:proofErr w:type="gramStart"/>
      <w:r w:rsidRPr="00144ECC">
        <w:rPr>
          <w:color w:val="auto"/>
          <w:sz w:val="20"/>
          <w:szCs w:val="20"/>
        </w:rPr>
        <w:t>Em</w:t>
      </w:r>
      <w:proofErr w:type="gramEnd"/>
      <w:r w:rsidRPr="00144ECC">
        <w:rPr>
          <w:color w:val="auto"/>
          <w:sz w:val="20"/>
          <w:szCs w:val="20"/>
        </w:rPr>
        <w:t xml:space="preserve"> atenção à resposta encaminhada pela Secretaria de Desenvolvimento Urbano e Metropolitano do Rio Grande do Sul ao meu pedido de acesso à informação referente ao Contrato nº 2025/022358 (Consórcio HDATT–Eldorado), venho, respeitosamente, </w:t>
      </w:r>
      <w:r w:rsidRPr="00144ECC">
        <w:rPr>
          <w:color w:val="auto"/>
          <w:sz w:val="20"/>
          <w:szCs w:val="20"/>
        </w:rPr>
        <w:lastRenderedPageBreak/>
        <w:t xml:space="preserve">apresentar pedido de reexame, pelos fundamentos a seguir expostos. A resposta recebida reconhece expressamente que os documentos solicitados possuem NATUREZA PÚBLICA E NÃO ESTÃO </w:t>
      </w:r>
      <w:proofErr w:type="spellStart"/>
      <w:r w:rsidRPr="00144ECC">
        <w:rPr>
          <w:color w:val="auto"/>
          <w:sz w:val="20"/>
          <w:szCs w:val="20"/>
        </w:rPr>
        <w:t>ESTÃO</w:t>
      </w:r>
      <w:proofErr w:type="spellEnd"/>
      <w:r w:rsidRPr="00144ECC">
        <w:rPr>
          <w:color w:val="auto"/>
          <w:sz w:val="20"/>
          <w:szCs w:val="20"/>
        </w:rPr>
        <w:t xml:space="preserve"> CLASSIFICADOS COMO SIGILOSOS. Entretanto, o acesso foi negado sob o argumento de que os materiais se encontram em fase de elaboração e análise técnica. Ocorre que tal fundamentação não se sustenta à luz da Lei nº 12.527/2011, uma vez que o direito de acesso à informação pública abrange não apenas documentos já produzidos, mas também informações objetivas disponíveis à Administração Pública, ainda que: estejam em análise técnica; não tenham sido aprovados definitivamente; sejam considerados versões preliminares; não estejam consolidadas em versão final. Nesse sentido, a negativa de acesso com base exclusivamente na condição de “informação em elaboração” NÃO encontra amparo legal, especialmente quando se trata de estudos técnicos contratados com recursos públicos; produtos já entregues pela contratada no âmbito de execução contratual; informações objetivas relativas ao andamento contratual, cronograma, prazos e características técnicas já definidas. Ressalta-se que a própria resposta afirma não se tratar de informação sigilosa, o que afasta qualquer hipótese legal de restrição integral de acesso. Adicionalmente, o §3º do art. 7º da Lei de Acesso à Informação (Lei nº 12.527/2011) assegura que, quando não for possível o acesso integral, deve ser garantido o acesso às partes não protegidas por eventual restrição, o que não foi observado na resposta apresentada.</w:t>
      </w:r>
      <w:r w:rsidRPr="00144ECC">
        <w:rPr>
          <w:strike/>
          <w:color w:val="auto"/>
          <w:sz w:val="20"/>
          <w:szCs w:val="20"/>
        </w:rPr>
        <w:t xml:space="preserve"> </w:t>
      </w:r>
      <w:r w:rsidRPr="00144ECC">
        <w:rPr>
          <w:color w:val="auto"/>
          <w:sz w:val="20"/>
          <w:szCs w:val="20"/>
        </w:rPr>
        <w:t xml:space="preserve">Destaca-se, ainda, que a resposta não se limitou a negar o acesso a documentos, mas também deixou de fornecer informações objetivas solicitadas, que independem de qualquer aprovação final, tais como prazos atualizados; cronograma de execução; estágio atual do contrato e previsões relacionadas às próximas etapas do projeto. Tais informações são de natureza objetiva e devem estar disponíveis à Administração Pública, não podendo ser negadas sob a justificativa genérica de que os documentos ainda não foram concluídos. Dessa forma, resta caracterizado que a resposta NÃO ATENDEU integralmente à solicitação, deixando de fornecer tanto documentos quanto informações que deveriam ser disponibilizadas. Ressalta-se que a eventual condição de documento em elaboração, em análise técnica ou de informação não consolidada não constitui impedimento legal ao acesso, devendo ser disponibilizadas as versões e informações existentes no momento da solicitação. Requer-se, ainda, que todos os itens sejam respondidos de forma individualizada, com indicação expressa para cada solicitação originalmente apresentada. Diante do exposto, requer-se o reexame da decisão, com a consequente: 1) Disponibilização integral dos documentos e produtos técnicos já produzidos no âmbito do contrato, ainda que em versões preliminares, em análise ou não aprovadas; 2) Subsidiariamente, caso alguma parte seja considerada passível de restrição, a disponibilização das partes não classificadas, com a devida indicação expressa do fundamento legal específico para eventual supressão; 3) Fornecimento das informações objetivas solicitadas, independentemente da </w:t>
      </w:r>
      <w:r w:rsidRPr="00144ECC">
        <w:rPr>
          <w:color w:val="auto"/>
          <w:sz w:val="20"/>
          <w:szCs w:val="20"/>
        </w:rPr>
        <w:lastRenderedPageBreak/>
        <w:t xml:space="preserve">conclusão ou aprovação final dos documentos; 4) Apresentação de resposta completa e individualizada a cada item originalmente solicitado; 5) Indicação expressa do fundamento legal específico, nos termos da Lei nº 12.527/2011, para eventual negativa de qualquer item. Considerando o elevado interesse público da matéria, especialmente por se tratar de projeto de proteção contra enchentes com impacto direto na segurança da população, requer-se que o presente pedido de reexame seja apreciado com a máxima prioridade, com apresentação de resposta completa dentro do prazo legal, evitando-se respostas genéricas, parciais ou meramente protelatórias. Ressalta-se que respostas genéricas, evasivas ou que não atendam individualmente aos itens solicitados serão consideradas como não atendimento à solicitação, para fins de adoção das medidas administrativas cabíveis. Destaca-se que o presente pedido busca o fornecimento de informações e documentos já existentes e não classificados como sigilosos, não havendo necessidade de análise discricionária complexa, razão pela qual se espera o atendimento integral ainda nesta instância administrativa. Por fim, ressalta-se que a ausência de fornecimento de informações públicas não classificadas como sigilosas configura restrição indevida de acesso à informação, podendo ensejar o encaminhamento às instâncias competentes de controle e transparência, nos termos da legislação vigente. Para fins de viabilização prática do atendimento, esclarece-se que a disponibilização dos documentos poderá ser realizada por meio de link para download, compartilhamento em nuvem ou envio direto ao e-mail cadastrado do solicitante (cristolgouvea@gmail.com), não havendo óbice técnico para o fornecimento das informações requeridas. Termos em que, </w:t>
      </w:r>
      <w:proofErr w:type="gramStart"/>
      <w:r w:rsidRPr="00144ECC">
        <w:rPr>
          <w:color w:val="auto"/>
          <w:sz w:val="20"/>
          <w:szCs w:val="20"/>
        </w:rPr>
        <w:t>Pede</w:t>
      </w:r>
      <w:proofErr w:type="gramEnd"/>
      <w:r w:rsidRPr="00144ECC">
        <w:rPr>
          <w:color w:val="auto"/>
          <w:sz w:val="20"/>
          <w:szCs w:val="20"/>
        </w:rPr>
        <w:t xml:space="preserve"> deferimento.</w:t>
      </w:r>
    </w:p>
    <w:p w14:paraId="454BABCC" w14:textId="77777777" w:rsidR="00034730" w:rsidRPr="00144ECC" w:rsidRDefault="00034730">
      <w:pPr>
        <w:ind w:firstLine="1418"/>
        <w:rPr>
          <w:i/>
          <w:iCs/>
          <w:color w:val="auto"/>
        </w:rPr>
      </w:pPr>
    </w:p>
    <w:p w14:paraId="454BABCD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>Em 10/04/2026, a SEDUR respondeu ao pedido de reexame, repisando os argumentos lançados na resposta ao pedido inicial, destacando que a negativa dos referidos documentos encontra respaldo no art. 7º, §3º, da Lei nº 12.527/2011, segundo o qual: “</w:t>
      </w:r>
      <w:r w:rsidRPr="00144ECC">
        <w:rPr>
          <w:i/>
          <w:color w:val="auto"/>
        </w:rPr>
        <w:t>O direito de acesso aos documentos ou às informações neles contidas utilizados como fundamento da tomada de decisão e do ato administrativo será assegurado com a edição do ato decisório respectivo.”</w:t>
      </w:r>
      <w:r w:rsidRPr="00144ECC">
        <w:rPr>
          <w:color w:val="auto"/>
        </w:rPr>
        <w:t xml:space="preserve"> A norma em questão busca preservar a integridade do processo decisório administrativo, evitando que documentos ainda sujeitos a análise, revisão ou modificação sejam divulgados antes da consolidação da decisão administrativa, nos seguintes termos:</w:t>
      </w:r>
    </w:p>
    <w:p w14:paraId="454BABCE" w14:textId="77777777" w:rsidR="00034730" w:rsidRPr="00144ECC" w:rsidRDefault="00034730">
      <w:pPr>
        <w:spacing w:line="360" w:lineRule="auto"/>
        <w:ind w:firstLine="1418"/>
        <w:rPr>
          <w:color w:val="auto"/>
        </w:rPr>
      </w:pPr>
    </w:p>
    <w:p w14:paraId="454BABCF" w14:textId="77777777" w:rsidR="00034730" w:rsidRPr="00144ECC" w:rsidRDefault="00474D7C">
      <w:pPr>
        <w:ind w:left="2268"/>
        <w:rPr>
          <w:color w:val="auto"/>
        </w:rPr>
      </w:pPr>
      <w:r w:rsidRPr="00144ECC">
        <w:rPr>
          <w:color w:val="auto"/>
          <w:sz w:val="20"/>
          <w:szCs w:val="20"/>
        </w:rPr>
        <w:lastRenderedPageBreak/>
        <w:t xml:space="preserve">Prezado Sr. </w:t>
      </w:r>
      <w:proofErr w:type="spellStart"/>
      <w:r w:rsidRPr="00144ECC">
        <w:rPr>
          <w:color w:val="auto"/>
          <w:sz w:val="20"/>
          <w:szCs w:val="20"/>
        </w:rPr>
        <w:t>Cristol</w:t>
      </w:r>
      <w:proofErr w:type="spellEnd"/>
      <w:r w:rsidRPr="00144ECC">
        <w:rPr>
          <w:color w:val="auto"/>
          <w:sz w:val="20"/>
          <w:szCs w:val="20"/>
        </w:rPr>
        <w:t xml:space="preserve"> de Paiva Gouvea, De ordem da autoridade máxima (art. 20 do Decreto Estadual nº 49.111/2012, com alterações introduzidas pelo Decreto Estadual nº 52.505/2015), reitera-se a informação anterior, a qual informa que os documentos e produtos técnicos solicitados constituem informações públicas, produzidas no âmbito da execução contratual, as quais se encontram, neste momento, em fase de elaboração e análise técnica pela Fiscalização do Contrato, não estando ainda formalmente aprovadas. Esclarece-se que os referidos materiais possuem natureza preparatória, consistindo em versões preliminares, que podem sofrer ajustes, complementações e alterações substanciais ao longo do processo de avaliação técnica, até a consolidação de sua versão final. Nessas condições, e com vistas a resguardar a fidedignidade, a precisão técnica e a adequada compreensão das informações, o acesso aos documentos encontra-se temporariamente diferido, até a conclusão da análise técnica e a formalização da aprovação dos produtos, ocasião em que estarão consolidados como versões definitivas. Ressalta-se, nos termos do artigo 7º, § 3º da Lei nº 12.527/2011, que </w:t>
      </w:r>
      <w:proofErr w:type="gramStart"/>
      <w:r w:rsidRPr="00144ECC">
        <w:rPr>
          <w:color w:val="auto"/>
          <w:sz w:val="20"/>
          <w:szCs w:val="20"/>
        </w:rPr>
        <w:t>tratam-se</w:t>
      </w:r>
      <w:proofErr w:type="gramEnd"/>
      <w:r w:rsidRPr="00144ECC">
        <w:rPr>
          <w:color w:val="auto"/>
          <w:sz w:val="20"/>
          <w:szCs w:val="20"/>
        </w:rPr>
        <w:t xml:space="preserve"> de informações públicas em fase de elaboração, cuja disponibilização integral será realizada após a finalização das etapas técnicas e administrativas necessárias. Concluído esse processo, os documentos serão encaminhados para sua adequada publicização nos canais oficiais da Secretaria, em observância aos princípios da transparência, da publicidade e do acesso à informação previstos na legislação vigente. Ainda, por oportuno, cumpre salientar que o direito de acesso à informação pública é assegurado pela Lei nº 12.527/2011, devendo ser observado como regra geral da Administração Pública, em consonância com o princípio da publicidade. Todavia, a própria legislação estabelece hipóteses em que o acesso pode ser postergado, notadamente quando se tratar de documentos preparatórios à tomada de decisão administrativa. Dessa forma, dispõe o art. 7º, §3º, da Lei nº 12.527/2011, segundo o qual: “O direito de acesso aos documentos ou às informações neles contidas utilizados como fundamento da tomada de decisão e do ato administrativo será assegurado com a edição do ato decisório respectivo.” A norma em questão busca preservar a integridade do processo decisório administrativo, evitando que documentos ainda sujeitos a análise, revisão ou modificação sejam divulgados antes da consolidação da decisão administrativa. A doutrina administrativa e a prática institucional consolidaram o entendimento de que se enquadram nessa categoria, entre outros: - anteprojetos; - estudos técnicos preliminares; - minutas de atos administrativos; - documentos técnicos em fase de elaboração; - pareceres preparatórios ainda não aprovados. Tais documentos caracterizam-se por possuir natureza instrumental e preparatória, servindo como subsídio à futura tomada de decisão pela autoridade competente. No caso concreto, verifica-se que os documentos solicitados correspondem precisamente a anteprojeto ou estudo técnico integrante da fase interna de planejamento da contratação, não constituindo ainda ato administrativo definitivo. Consequentemente, sua divulgação antecipada pode ser </w:t>
      </w:r>
      <w:r w:rsidRPr="00144ECC">
        <w:rPr>
          <w:color w:val="auto"/>
          <w:sz w:val="20"/>
          <w:szCs w:val="20"/>
        </w:rPr>
        <w:lastRenderedPageBreak/>
        <w:t xml:space="preserve">legitimamente diferida, até a conclusão da decisão administrativa correspondente. Além do caráter preparatório do documento, deve-se considerar que o material solicitado </w:t>
      </w:r>
      <w:proofErr w:type="gramStart"/>
      <w:r w:rsidRPr="00144ECC">
        <w:rPr>
          <w:color w:val="auto"/>
          <w:sz w:val="20"/>
          <w:szCs w:val="20"/>
        </w:rPr>
        <w:t>encontra-se</w:t>
      </w:r>
      <w:proofErr w:type="gramEnd"/>
      <w:r w:rsidRPr="00144ECC">
        <w:rPr>
          <w:color w:val="auto"/>
          <w:sz w:val="20"/>
          <w:szCs w:val="20"/>
        </w:rPr>
        <w:t xml:space="preserve"> vinculado à estruturação de futura licitação pública. Nesse contexto, a divulgação prematura de informações técnicas relevantes pode gerar assimetria informacional entre potenciais interessados, conferindo vantagem indevida a determinados agentes econômicos que venham a ter acesso antecipado a dados técnicos ainda não oficialmente divulgados. Tal situação poderia comprometer princípios estruturantes do regime jurídico das contratações públicas previstos na Lei nº 14.133/2021, especialmente: - o princípio da isonomia entre os licitantes; - o princípio da competitividade; - o princípio da seleção da proposta mais vantajosa; - o princípio da transparência com igualdade de condições. O planejamento da contratação constitui etapa essencial do procedimento licitatório e deve ser conduzido de forma técnica e imparcial, evitando-se qualquer situação que possa favorecer determinados interessados antes da publicação oficial do instrumento convocatório. Nesse sentido, a divulgação antecipada de documentos técnicos ainda não consolidados pode: - revelar prematuramente especificações técnicas em estudo: - permitir preparação privilegiada de eventuais interessados; - comprometer a igualdade de condições entre futuros licitantes. Assim, o diferimento temporário do acesso também se justifica como medida de proteção à integridade do procedimento licitatório futuro, preservando-se a igualdade de condições entre os potenciais participantes. Portanto, o diferimento do acesso, no presente caso, encontra respaldo na legislação expressa que regula o acesso à informação, nos princípios que regem as contratações públicas, bem como nos princípios da razoabilidade e da proporcionalidade que orientam a atuação administrativa. Atenciosamente, Secretaria de Desenvolvimento Urbano e Metropolitano SEDUR</w:t>
      </w:r>
    </w:p>
    <w:p w14:paraId="454BABD0" w14:textId="77777777" w:rsidR="00034730" w:rsidRPr="00144ECC" w:rsidRDefault="00034730">
      <w:pPr>
        <w:ind w:firstLine="1418"/>
        <w:rPr>
          <w:color w:val="auto"/>
        </w:rPr>
      </w:pPr>
    </w:p>
    <w:p w14:paraId="454BABD1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>Inconformado, em 16/04/2026 o cidadão interpôs recurso, reiterando as razões do pedido de reexame, nos seguintes termos:</w:t>
      </w:r>
    </w:p>
    <w:p w14:paraId="454BABD2" w14:textId="77777777" w:rsidR="00034730" w:rsidRPr="00144ECC" w:rsidRDefault="00034730">
      <w:pPr>
        <w:spacing w:line="360" w:lineRule="auto"/>
        <w:ind w:firstLine="1418"/>
        <w:rPr>
          <w:color w:val="auto"/>
        </w:rPr>
      </w:pPr>
    </w:p>
    <w:p w14:paraId="454BABD3" w14:textId="77777777" w:rsidR="00034730" w:rsidRPr="00144ECC" w:rsidRDefault="00474D7C">
      <w:pPr>
        <w:ind w:left="2268"/>
        <w:rPr>
          <w:color w:val="auto"/>
        </w:rPr>
      </w:pPr>
      <w:r w:rsidRPr="00144ECC">
        <w:rPr>
          <w:color w:val="auto"/>
          <w:sz w:val="20"/>
          <w:szCs w:val="20"/>
        </w:rPr>
        <w:t xml:space="preserve">Prezado, </w:t>
      </w:r>
      <w:proofErr w:type="gramStart"/>
      <w:r w:rsidRPr="00144ECC">
        <w:rPr>
          <w:color w:val="auto"/>
          <w:sz w:val="20"/>
          <w:szCs w:val="20"/>
        </w:rPr>
        <w:t>Em</w:t>
      </w:r>
      <w:proofErr w:type="gramEnd"/>
      <w:r w:rsidRPr="00144ECC">
        <w:rPr>
          <w:color w:val="auto"/>
          <w:sz w:val="20"/>
          <w:szCs w:val="20"/>
        </w:rPr>
        <w:t xml:space="preserve"> face da resposta ao pedido de reexame encaminhada pela Secretaria de Desenvolvimento Urbano e Metropolitano do Rio Grande do Sul, referente ao acesso à informação relativa ao Contrato nº 2025/022358 (Consórcio HDATT–Eldorado), venho interpor o presente recurso administrativo, com fundamento na Lei de Acesso à Informação (Lei nº 12.527/2011), pelos motivos a seguir expostos. A decisão recorrida manteve a negativa de acesso sob o argumento de que os documentos solicitados possuem natureza preparatória, estariam em fase de elaboração e análise técnica, e sua divulgação poderia comprometer o processo decisório e futura licitação. Contudo, a negativa apresentada permanece juridicamente inadequada e </w:t>
      </w:r>
      <w:r w:rsidRPr="00144ECC">
        <w:rPr>
          <w:color w:val="auto"/>
          <w:sz w:val="20"/>
          <w:szCs w:val="20"/>
        </w:rPr>
        <w:lastRenderedPageBreak/>
        <w:t xml:space="preserve">insuficiente, pelos seguintes fundamentos: 1. Indevida negativa integral de acesso a informações públicas não sigilosas A própria Administração reconhece expressamente que as informações solicitadas são públicas e não classificadas como sigilosas. Ainda assim, optou por negar integralmente o acesso, o que contraria frontalmente o princípio da publicidade e o regime de transparência estabelecido pela Lei nº 12.527/2011. Nos termos do art. 7º, §3º, o eventual caráter preparatório não autoriza a restrição total do acesso, mas, quando aplicável, apenas o diferimento quanto ao uso do documento como fundamento de decisão administrativa. Tal dispositivo não impede o acesso às versões existentes, tampouco autoriza a negativa genérica de todo o conteúdo solicitado. 2. Obrigatoriedade de fornecimento de informações objetivas, independentemente de consolidação final O pedido original não se limitou à solicitação de documentos, abrangendo também informações objetivas e já disponíveis à Administração, como prazos, cronograma, estágio de execução contratual e previsões de etapas futuras. Tais informações: • independem de aprovação final de documentos técnicos; • não possuem natureza decisória; • não comprometem qualquer processo licitatório; e, portanto, não podem ser negadas sob a justificativa de “documento em elaboração”. A ausência de resposta a esses itens configura omissão indevida, em desacordo com a Lei de Acesso à Informação. 3. Ausência de resposta individualizada aos itens solicitados A decisão recorrida deixou de apresentar resposta específica e individualizada para cada item solicitado, limitando-se a reiterar fundamentação genérica. Tal conduta: • inviabiliza o controle do atendimento da solicitação; • impede a verificação objetiva do que foi ou não respondido; • caracteriza descumprimento do dever de transparência ativa e passiva. Reitera-se, portanto, a necessidade de que cada item seja analisado e respondido de forma autônoma e fundamentada. 4. Aplicação indevida do argumento de risco à licitação futura A alegação de que a divulgação poderia comprometer a isonomia entre futuros licitantes não se sustenta de forma genérica e abstrata. Eventual restrição deveria: • ser pontual; • indicar concretamente quais informações causariam prejuízo; • apresentar fundamento legal específico para cada hipótese de restrição. A negativa integral, sem individualização, não atende aos requisitos legais de motivação. 5. Obrigação de fornecimento parcial das </w:t>
      </w:r>
      <w:proofErr w:type="gramStart"/>
      <w:r w:rsidRPr="00144ECC">
        <w:rPr>
          <w:color w:val="auto"/>
          <w:sz w:val="20"/>
          <w:szCs w:val="20"/>
        </w:rPr>
        <w:t>informações Nos</w:t>
      </w:r>
      <w:proofErr w:type="gramEnd"/>
      <w:r w:rsidRPr="00144ECC">
        <w:rPr>
          <w:color w:val="auto"/>
          <w:sz w:val="20"/>
          <w:szCs w:val="20"/>
        </w:rPr>
        <w:t xml:space="preserve"> termos do art. 7º, §3º da Lei nº 12.527/2011, ainda que se entenda pela restrição de parte do conteúdo, a Administração é obrigada a: • </w:t>
      </w:r>
      <w:proofErr w:type="spellStart"/>
      <w:r w:rsidRPr="00144ECC">
        <w:rPr>
          <w:color w:val="auto"/>
          <w:sz w:val="20"/>
          <w:szCs w:val="20"/>
        </w:rPr>
        <w:t>fornecer</w:t>
      </w:r>
      <w:proofErr w:type="spellEnd"/>
      <w:r w:rsidRPr="00144ECC">
        <w:rPr>
          <w:color w:val="auto"/>
          <w:sz w:val="20"/>
          <w:szCs w:val="20"/>
        </w:rPr>
        <w:t xml:space="preserve"> as partes não restritas; • indicar expressamente os trechos suprimidos; • fundamentar legalmente cada restrição. Tal procedimento não foi observado. Diante do exposto, requer-se: 1. A reforma da decisão recorrida, com a disponibilização integral dos documentos e produtos técnicos já produzidos no âmbito do contrato, ainda que em versões preliminares, em análise ou não aprovadas; 2. Subsidiariamente, a disponibilização parcial dos documentos, com supressão apenas dos trechos eventualmente restritos, acompanhada da devida fundamentação legal específica para cada supressão; 3. O </w:t>
      </w:r>
      <w:r w:rsidRPr="00144ECC">
        <w:rPr>
          <w:color w:val="auto"/>
          <w:sz w:val="20"/>
          <w:szCs w:val="20"/>
        </w:rPr>
        <w:lastRenderedPageBreak/>
        <w:t xml:space="preserve">fornecimento das informações objetivas solicitadas, independentemente da conclusão ou aprovação final dos documentos; 4. A apresentação de resposta completa, individualizada e fundamentada para cada item originalmente solicitado; 5. A indicação expressa de fundamento legal específico para eventual negativa de qualquer informação, vedadas justificativas genéricas. Para fins de viabilização prática, reitera-se que os documentos poderão ser disponibilizados por meio de link para download, compartilhamento em nuvem ou envio ao e-mail do solicitante (cristolgouvea@gmail.com). Por fim, ressalta-se que a manutenção de negativa genérica e integral de acesso a informações públicas não sigilosas configura restrição indevida ao direito de acesso à informação, sujeita às medidas cabíveis perante os órgãos de controle e fiscalização. Termos em que, </w:t>
      </w:r>
      <w:proofErr w:type="gramStart"/>
      <w:r w:rsidRPr="00144ECC">
        <w:rPr>
          <w:color w:val="auto"/>
          <w:sz w:val="20"/>
          <w:szCs w:val="20"/>
        </w:rPr>
        <w:t>Pede</w:t>
      </w:r>
      <w:proofErr w:type="gramEnd"/>
      <w:r w:rsidRPr="00144ECC">
        <w:rPr>
          <w:color w:val="auto"/>
          <w:sz w:val="20"/>
          <w:szCs w:val="20"/>
        </w:rPr>
        <w:t xml:space="preserve"> deferimento.</w:t>
      </w:r>
    </w:p>
    <w:p w14:paraId="454BABD4" w14:textId="77777777" w:rsidR="00034730" w:rsidRPr="00144ECC" w:rsidRDefault="00034730">
      <w:pPr>
        <w:spacing w:line="360" w:lineRule="auto"/>
        <w:ind w:firstLine="1418"/>
        <w:rPr>
          <w:i/>
          <w:iCs/>
          <w:color w:val="auto"/>
        </w:rPr>
      </w:pPr>
    </w:p>
    <w:p w14:paraId="454BABD5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>Veio o recurso a esta CMRI/RS.</w:t>
      </w:r>
    </w:p>
    <w:p w14:paraId="454BABD6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>Após, foi a mim distribuído para julgamento.</w:t>
      </w:r>
    </w:p>
    <w:p w14:paraId="454BABD7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>É o relatório.</w:t>
      </w:r>
    </w:p>
    <w:p w14:paraId="454BABD8" w14:textId="77777777" w:rsidR="00034730" w:rsidRPr="00144ECC" w:rsidRDefault="00034730">
      <w:pPr>
        <w:spacing w:line="360" w:lineRule="auto"/>
        <w:ind w:firstLine="1418"/>
        <w:rPr>
          <w:color w:val="auto"/>
        </w:rPr>
      </w:pPr>
    </w:p>
    <w:p w14:paraId="454BABD9" w14:textId="77777777" w:rsidR="00034730" w:rsidRPr="00144ECC" w:rsidRDefault="00474D7C">
      <w:pPr>
        <w:pStyle w:val="TtuloPrincipal"/>
        <w:keepNext w:val="0"/>
        <w:rPr>
          <w:color w:val="auto"/>
        </w:rPr>
      </w:pPr>
      <w:r w:rsidRPr="00144ECC">
        <w:rPr>
          <w:rFonts w:eastAsia="Arial"/>
          <w:color w:val="auto"/>
        </w:rPr>
        <w:t>VOTOS</w:t>
      </w:r>
      <w:r w:rsidRPr="00144ECC">
        <w:rPr>
          <w:color w:val="auto"/>
        </w:rPr>
        <w:t xml:space="preserve"> </w:t>
      </w:r>
    </w:p>
    <w:p w14:paraId="454BABDA" w14:textId="77777777" w:rsidR="00034730" w:rsidRPr="00144ECC" w:rsidRDefault="00474D7C">
      <w:pPr>
        <w:pStyle w:val="NomeJulgadorPadro"/>
        <w:rPr>
          <w:color w:val="auto"/>
        </w:rPr>
      </w:pPr>
      <w:r w:rsidRPr="00144ECC">
        <w:rPr>
          <w:color w:val="auto"/>
          <w:u w:val="single"/>
        </w:rPr>
        <w:t xml:space="preserve">Secretaria de SISTEMAS PENAL E SOCIOEDUCATIVO (RElATOR) </w:t>
      </w:r>
      <w:r w:rsidRPr="00144ECC">
        <w:rPr>
          <w:b w:val="0"/>
          <w:bCs w:val="0"/>
          <w:caps w:val="0"/>
          <w:color w:val="auto"/>
        </w:rPr>
        <w:t>–</w:t>
      </w:r>
    </w:p>
    <w:p w14:paraId="454BABDB" w14:textId="77777777" w:rsidR="00034730" w:rsidRPr="00144ECC" w:rsidRDefault="00474D7C">
      <w:pPr>
        <w:spacing w:before="280" w:after="142" w:line="360" w:lineRule="auto"/>
        <w:ind w:firstLine="1418"/>
        <w:rPr>
          <w:rFonts w:eastAsia="Arial"/>
          <w:color w:val="auto"/>
        </w:rPr>
      </w:pPr>
      <w:r w:rsidRPr="00144ECC">
        <w:rPr>
          <w:rFonts w:eastAsia="Arial"/>
          <w:color w:val="auto"/>
        </w:rPr>
        <w:t>Eminentes Colegas.</w:t>
      </w:r>
    </w:p>
    <w:p w14:paraId="454BABDC" w14:textId="77777777" w:rsidR="00034730" w:rsidRPr="00144ECC" w:rsidRDefault="00474D7C">
      <w:pPr>
        <w:spacing w:before="280" w:after="142" w:line="360" w:lineRule="auto"/>
        <w:ind w:firstLine="1418"/>
        <w:rPr>
          <w:color w:val="auto"/>
        </w:rPr>
      </w:pPr>
      <w:r w:rsidRPr="00144ECC">
        <w:rPr>
          <w:rFonts w:eastAsia="Arial"/>
          <w:color w:val="auto"/>
        </w:rPr>
        <w:t xml:space="preserve">No caso em análise, conforme relatado, o recorrente solicitou à SEDUR </w:t>
      </w:r>
      <w:r w:rsidRPr="00144ECC">
        <w:rPr>
          <w:color w:val="auto"/>
        </w:rPr>
        <w:t xml:space="preserve">informações referentes ao Contrato nº 2025/022358 (Consórcio HDATT – Eldorado), que trata da atualização dos anteprojetos de Engenharia do Sistema de Proteção Contra Cheias de Eldorado do Sul, consubstanciadas, em síntese, no fornecimento de documentos técnicos referentes à contratação, bem como informações referentes ao cronograma contratual, data prevista atualizada para lançamento do edital de licitação para elaboração do projeto executivo e execução das obras do Sistema de Proteção Contra cheias de Eldorado do Sul, previsão orçamentária e o valor estimado atualmente previsto, salientando a </w:t>
      </w:r>
      <w:r w:rsidRPr="00144ECC">
        <w:rPr>
          <w:color w:val="auto"/>
        </w:rPr>
        <w:lastRenderedPageBreak/>
        <w:t>solicitação de disponibilização integral dos documentos solicitados, ainda que em versões preliminares, em análise administrativa ou não definitivamente aprovadas</w:t>
      </w:r>
      <w:r w:rsidRPr="00144ECC">
        <w:rPr>
          <w:rFonts w:eastAsia="Arial"/>
          <w:color w:val="auto"/>
        </w:rPr>
        <w:t>.</w:t>
      </w:r>
    </w:p>
    <w:p w14:paraId="454BABDD" w14:textId="77777777" w:rsidR="00034730" w:rsidRPr="00144ECC" w:rsidRDefault="00474D7C">
      <w:pPr>
        <w:spacing w:before="280" w:after="142" w:line="360" w:lineRule="auto"/>
        <w:ind w:firstLine="1418"/>
        <w:rPr>
          <w:color w:val="auto"/>
        </w:rPr>
      </w:pPr>
      <w:r w:rsidRPr="00144ECC">
        <w:rPr>
          <w:color w:val="auto"/>
        </w:rPr>
        <w:t xml:space="preserve">A SEDUR manifestou-se no sentido da impossibilidade de fornecimento dos documentos solicitados, sob o argumento de que estes possuem natureza preparatória, consistindo em versões preliminares, que podem sofrer ajustes, complementações e alterações substanciais ao longo do processo de avaliação técnica, até a consolidação de sua versão final. Defendeu que, embora não se trate de informação classificada como sigilosa, é considerada informação pública em fase de elaboração, cuja disponibilização integral, nos termos do artigo 7º, § 3º da Lei nº 12.527/2011, será realizada após a finalização das etapas técnicas e administrativas necessárias. </w:t>
      </w:r>
    </w:p>
    <w:p w14:paraId="454BABDE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 xml:space="preserve">Assiste razão, em parte, ao recorrente. Não obstante o art. 7º, </w:t>
      </w:r>
      <w:proofErr w:type="gramStart"/>
      <w:r w:rsidRPr="00144ECC">
        <w:rPr>
          <w:color w:val="auto"/>
        </w:rPr>
        <w:t>§  3</w:t>
      </w:r>
      <w:proofErr w:type="gramEnd"/>
      <w:r w:rsidRPr="00144ECC">
        <w:rPr>
          <w:color w:val="auto"/>
          <w:vertAlign w:val="superscript"/>
        </w:rPr>
        <w:t>o</w:t>
      </w:r>
      <w:r w:rsidRPr="00144ECC">
        <w:rPr>
          <w:color w:val="auto"/>
        </w:rPr>
        <w:t>, da Lei nº 12.527/2011 estabeleça que os documentos utilizados como fundamento de tomada de decisão ou de ato administrativo somente terão o seu acesso assegurado após a edição do respectivo ato decisório, impõe-se atentar para os efetivos contornos e limites dessa previsão. Nesse sentido, é de ser utilizada a diretriz interpretativa consagrada na Súmula nº 8 desta CMRI/RS, nos termos que seguem:</w:t>
      </w:r>
    </w:p>
    <w:p w14:paraId="454BABDF" w14:textId="77777777" w:rsidR="00034730" w:rsidRPr="00144ECC" w:rsidRDefault="00034730">
      <w:pPr>
        <w:spacing w:line="360" w:lineRule="auto"/>
        <w:ind w:left="2268"/>
        <w:rPr>
          <w:i/>
          <w:iCs/>
          <w:color w:val="auto"/>
          <w:sz w:val="20"/>
          <w:szCs w:val="20"/>
          <w:shd w:val="clear" w:color="auto" w:fill="FFFFFF"/>
        </w:rPr>
      </w:pPr>
    </w:p>
    <w:p w14:paraId="454BABE0" w14:textId="77777777" w:rsidR="00034730" w:rsidRPr="00144ECC" w:rsidRDefault="00474D7C" w:rsidP="00641757">
      <w:pPr>
        <w:spacing w:line="276" w:lineRule="auto"/>
        <w:ind w:left="2268"/>
        <w:rPr>
          <w:b/>
          <w:bCs/>
          <w:i/>
          <w:iCs/>
          <w:color w:val="auto"/>
          <w:sz w:val="28"/>
          <w:szCs w:val="28"/>
        </w:rPr>
      </w:pPr>
      <w:r w:rsidRPr="00144ECC">
        <w:rPr>
          <w:b/>
          <w:bCs/>
          <w:i/>
          <w:iCs/>
          <w:color w:val="auto"/>
          <w:sz w:val="22"/>
          <w:szCs w:val="22"/>
          <w:shd w:val="clear" w:color="auto" w:fill="FFFFFF"/>
        </w:rPr>
        <w:t xml:space="preserve">Súmula nº 8. </w:t>
      </w:r>
      <w:r w:rsidRPr="00144ECC">
        <w:rPr>
          <w:i/>
          <w:iCs/>
          <w:color w:val="auto"/>
          <w:sz w:val="22"/>
          <w:szCs w:val="22"/>
          <w:shd w:val="clear" w:color="auto" w:fill="FFFFFF"/>
        </w:rPr>
        <w:t>Em se tratando de pedido de acesso a informações que estejam a integrar alguma espécie de procedimento administrativo disciplinar ainda não concluído, há de se diferenciar as informações sobre o processo em si (p.ex., a portaria instauradora, as oitivas, os</w:t>
      </w:r>
      <w:r w:rsidRPr="00144ECC">
        <w:rPr>
          <w:i/>
          <w:iCs/>
          <w:color w:val="auto"/>
          <w:sz w:val="28"/>
          <w:szCs w:val="28"/>
          <w:shd w:val="clear" w:color="auto" w:fill="FFFFFF"/>
        </w:rPr>
        <w:t xml:space="preserve"> </w:t>
      </w:r>
      <w:r w:rsidRPr="00144ECC">
        <w:rPr>
          <w:i/>
          <w:iCs/>
          <w:color w:val="auto"/>
          <w:sz w:val="22"/>
          <w:szCs w:val="22"/>
          <w:shd w:val="clear" w:color="auto" w:fill="FFFFFF"/>
        </w:rPr>
        <w:t xml:space="preserve">despachos e decisões, etc.) das eventuais informações que apenas circunstancialmente o instruem, as quais não necessariamente estão acobertadas por algum sigilo, a não ser que se enquadrem, por si só, em alguma </w:t>
      </w:r>
      <w:r w:rsidRPr="00144ECC">
        <w:rPr>
          <w:i/>
          <w:iCs/>
          <w:color w:val="auto"/>
          <w:sz w:val="22"/>
          <w:szCs w:val="22"/>
          <w:shd w:val="clear" w:color="auto" w:fill="FFFFFF"/>
        </w:rPr>
        <w:lastRenderedPageBreak/>
        <w:t>das hipóteses de que trata o art. 10, I a III, do Decreto Estadual nº 49.111/2012.</w:t>
      </w:r>
    </w:p>
    <w:p w14:paraId="454BABE1" w14:textId="77777777" w:rsidR="00034730" w:rsidRPr="00144ECC" w:rsidRDefault="00034730">
      <w:pPr>
        <w:spacing w:line="360" w:lineRule="auto"/>
        <w:ind w:firstLine="1418"/>
        <w:rPr>
          <w:b/>
          <w:bCs/>
          <w:color w:val="auto"/>
          <w:sz w:val="20"/>
          <w:szCs w:val="20"/>
          <w:shd w:val="clear" w:color="auto" w:fill="FFFFFF"/>
        </w:rPr>
      </w:pPr>
    </w:p>
    <w:p w14:paraId="454BABE2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 xml:space="preserve">Assim, deve-se distinguir aqueles documentos e informações que, de fato, se destinam a embasar a futura decisão administrativa daqueles outros elementos que, embora também integrem o processo administrativo, possuem caráter meramente circunstancial e não estão acobertados por qualquer hipótese de sigilo. </w:t>
      </w:r>
    </w:p>
    <w:p w14:paraId="454BABE3" w14:textId="77777777" w:rsidR="00034730" w:rsidRPr="00144ECC" w:rsidRDefault="00474D7C">
      <w:pPr>
        <w:spacing w:line="360" w:lineRule="auto"/>
        <w:ind w:firstLine="1418"/>
        <w:rPr>
          <w:rFonts w:eastAsia="Arial"/>
          <w:color w:val="auto"/>
        </w:rPr>
      </w:pPr>
      <w:r w:rsidRPr="00144ECC">
        <w:rPr>
          <w:rFonts w:eastAsia="Arial"/>
          <w:color w:val="auto"/>
        </w:rPr>
        <w:t>Feita essa distinção, e à luz dos princípios e objetivos consagrados na Lei nº 12.527/2011, os elementos integrantes da segunda categoria deverão ser desde logo disponibilizados ao cidadão requerente, por não constituírem documentos preparatórios nem se encontrarem submetidos a restrição legal de acesso.</w:t>
      </w:r>
    </w:p>
    <w:p w14:paraId="454BABE4" w14:textId="77777777" w:rsidR="00034730" w:rsidRPr="00144ECC" w:rsidRDefault="00474D7C">
      <w:pPr>
        <w:spacing w:line="360" w:lineRule="auto"/>
        <w:ind w:firstLine="1418"/>
        <w:rPr>
          <w:color w:val="auto"/>
        </w:rPr>
      </w:pPr>
      <w:r w:rsidRPr="00144ECC">
        <w:rPr>
          <w:color w:val="auto"/>
        </w:rPr>
        <w:t>Ante o exposto, o recurso merece parcial provimento, a fim de que a SEDUR analise pormenorizadamente todos os itens questionados pelo cidadão, justificando, em relação a cada um deles, o respectivo enquadramento na previsão do art. 7</w:t>
      </w:r>
      <w:r w:rsidRPr="00144ECC">
        <w:rPr>
          <w:color w:val="auto"/>
          <w:vertAlign w:val="superscript"/>
        </w:rPr>
        <w:t>o</w:t>
      </w:r>
      <w:r w:rsidRPr="00144ECC">
        <w:rPr>
          <w:color w:val="auto"/>
        </w:rPr>
        <w:t xml:space="preserve"> § 3</w:t>
      </w:r>
      <w:r w:rsidRPr="00144ECC">
        <w:rPr>
          <w:color w:val="auto"/>
          <w:vertAlign w:val="superscript"/>
        </w:rPr>
        <w:t>o</w:t>
      </w:r>
      <w:r w:rsidRPr="00144ECC">
        <w:rPr>
          <w:color w:val="auto"/>
        </w:rPr>
        <w:t xml:space="preserve"> da </w:t>
      </w:r>
      <w:r w:rsidRPr="00144ECC">
        <w:rPr>
          <w:rFonts w:eastAsia="Arial"/>
          <w:color w:val="auto"/>
        </w:rPr>
        <w:t>Lei nº 12.527/2011</w:t>
      </w:r>
      <w:r w:rsidRPr="00144ECC">
        <w:rPr>
          <w:color w:val="auto"/>
        </w:rPr>
        <w:t xml:space="preserve"> ou, quando não for esse o caso, franqueando o imediato acesso à informação. </w:t>
      </w:r>
    </w:p>
    <w:p w14:paraId="454BABE5" w14:textId="2F4F733F" w:rsidR="00034730" w:rsidRPr="00144ECC" w:rsidRDefault="00474D7C">
      <w:pPr>
        <w:spacing w:before="280" w:after="142" w:line="360" w:lineRule="auto"/>
        <w:ind w:firstLine="1418"/>
        <w:rPr>
          <w:color w:val="auto"/>
        </w:rPr>
      </w:pPr>
      <w:r w:rsidRPr="00144ECC">
        <w:rPr>
          <w:b/>
          <w:bCs/>
          <w:color w:val="auto"/>
        </w:rPr>
        <w:t>Recurso na Demanda nº 51.549</w:t>
      </w:r>
      <w:r w:rsidRPr="00144ECC">
        <w:rPr>
          <w:color w:val="auto"/>
        </w:rPr>
        <w:t>: “</w:t>
      </w:r>
      <w:r w:rsidR="007953BE" w:rsidRPr="00144ECC">
        <w:rPr>
          <w:color w:val="auto"/>
        </w:rPr>
        <w:t>Recurso p</w:t>
      </w:r>
      <w:r w:rsidRPr="00144ECC">
        <w:rPr>
          <w:color w:val="auto"/>
        </w:rPr>
        <w:t>arcial</w:t>
      </w:r>
      <w:r w:rsidR="007953BE" w:rsidRPr="00144ECC">
        <w:rPr>
          <w:color w:val="auto"/>
        </w:rPr>
        <w:t>mente</w:t>
      </w:r>
      <w:r w:rsidRPr="00144ECC">
        <w:rPr>
          <w:color w:val="auto"/>
        </w:rPr>
        <w:t xml:space="preserve"> provi</w:t>
      </w:r>
      <w:r w:rsidR="007953BE" w:rsidRPr="00144ECC">
        <w:rPr>
          <w:color w:val="auto"/>
        </w:rPr>
        <w:t>d</w:t>
      </w:r>
      <w:r w:rsidRPr="00144ECC">
        <w:rPr>
          <w:color w:val="auto"/>
        </w:rPr>
        <w:t>o, nos termos da fundamentação.”</w:t>
      </w:r>
    </w:p>
    <w:p w14:paraId="454BABE6" w14:textId="77777777" w:rsidR="00034730" w:rsidRPr="00144ECC" w:rsidRDefault="00034730">
      <w:pPr>
        <w:rPr>
          <w:color w:val="auto"/>
        </w:rPr>
      </w:pPr>
    </w:p>
    <w:sectPr w:rsidR="00034730" w:rsidRPr="00144ECC">
      <w:headerReference w:type="default" r:id="rId6"/>
      <w:footerReference w:type="default" r:id="rId7"/>
      <w:pgSz w:w="11906" w:h="16838"/>
      <w:pgMar w:top="2268" w:right="1701" w:bottom="1191" w:left="1701" w:header="851" w:footer="1134" w:gutter="0"/>
      <w:cols w:space="720"/>
      <w:formProt w:val="0"/>
      <w:docGrid w:linePitch="24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E632D" w14:textId="77777777" w:rsidR="00282A73" w:rsidRDefault="00282A73">
      <w:r>
        <w:separator/>
      </w:r>
    </w:p>
  </w:endnote>
  <w:endnote w:type="continuationSeparator" w:id="0">
    <w:p w14:paraId="0DD7C12E" w14:textId="77777777" w:rsidR="00282A73" w:rsidRDefault="00282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BABF3" w14:textId="77777777" w:rsidR="00034730" w:rsidRDefault="00474D7C">
    <w:pPr>
      <w:pStyle w:val="Rodap"/>
      <w:jc w:val="center"/>
      <w:rPr>
        <w:caps/>
        <w:color w:val="4F81BD"/>
      </w:rPr>
    </w:pPr>
    <w:r>
      <w:rPr>
        <w:caps/>
        <w:color w:val="4F81BD"/>
      </w:rPr>
      <w:fldChar w:fldCharType="begin"/>
    </w:r>
    <w:r>
      <w:rPr>
        <w:caps/>
        <w:color w:val="4F81BD"/>
      </w:rPr>
      <w:instrText>PAGE</w:instrText>
    </w:r>
    <w:r>
      <w:rPr>
        <w:caps/>
        <w:color w:val="4F81BD"/>
      </w:rPr>
      <w:fldChar w:fldCharType="separate"/>
    </w:r>
    <w:r>
      <w:rPr>
        <w:caps/>
        <w:color w:val="4F81BD"/>
      </w:rPr>
      <w:t>10</w:t>
    </w:r>
    <w:r>
      <w:rPr>
        <w:caps/>
        <w:color w:val="4F81BD"/>
      </w:rPr>
      <w:fldChar w:fldCharType="end"/>
    </w:r>
  </w:p>
  <w:p w14:paraId="454BABF4" w14:textId="77777777" w:rsidR="00034730" w:rsidRDefault="00034730">
    <w:pPr>
      <w:pStyle w:val="Rodap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B8FE2" w14:textId="77777777" w:rsidR="00282A73" w:rsidRDefault="00282A73">
      <w:r>
        <w:separator/>
      </w:r>
    </w:p>
  </w:footnote>
  <w:footnote w:type="continuationSeparator" w:id="0">
    <w:p w14:paraId="25EEEA2F" w14:textId="77777777" w:rsidR="00282A73" w:rsidRDefault="00282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BABE7" w14:textId="77777777" w:rsidR="00034730" w:rsidRDefault="00034730">
    <w:pPr>
      <w:pStyle w:val="Cabealho"/>
      <w:jc w:val="center"/>
    </w:pPr>
  </w:p>
  <w:p w14:paraId="454BABE8" w14:textId="77777777" w:rsidR="00034730" w:rsidRDefault="00034730">
    <w:pPr>
      <w:pStyle w:val="Cabealho"/>
      <w:jc w:val="center"/>
    </w:pPr>
  </w:p>
  <w:p w14:paraId="454BABE9" w14:textId="77777777" w:rsidR="00034730" w:rsidRDefault="00034730">
    <w:pPr>
      <w:pStyle w:val="Cabealho"/>
      <w:jc w:val="center"/>
    </w:pPr>
  </w:p>
  <w:p w14:paraId="454BABEA" w14:textId="77777777" w:rsidR="00034730" w:rsidRDefault="00474D7C">
    <w:pPr>
      <w:pStyle w:val="Cabealho"/>
      <w:jc w:val="center"/>
    </w:pPr>
    <w:r>
      <w:rPr>
        <w:noProof/>
      </w:rPr>
      <mc:AlternateContent>
        <mc:Choice Requires="wpg">
          <w:drawing>
            <wp:anchor distT="1905" distB="0" distL="3810" distR="0" simplePos="0" relativeHeight="14" behindDoc="1" locked="0" layoutInCell="0" allowOverlap="0" wp14:anchorId="454BABF5" wp14:editId="454BABF6">
              <wp:simplePos x="0" y="0"/>
              <wp:positionH relativeFrom="page">
                <wp:posOffset>1946910</wp:posOffset>
              </wp:positionH>
              <wp:positionV relativeFrom="page">
                <wp:posOffset>573405</wp:posOffset>
              </wp:positionV>
              <wp:extent cx="3420745" cy="914400"/>
              <wp:effectExtent l="0" t="0" r="0" b="0"/>
              <wp:wrapNone/>
              <wp:docPr id="1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20000" cy="913680"/>
                        <a:chOff x="1946880" y="573480"/>
                        <a:chExt cx="3420000" cy="913680"/>
                      </a:xfrm>
                    </wpg:grpSpPr>
                    <wps:wsp>
                      <wps:cNvPr id="571138853" name="Retângulo 571138853"/>
                      <wps:cNvSpPr/>
                      <wps:spPr>
                        <a:xfrm>
                          <a:off x="714960" y="141480"/>
                          <a:ext cx="2705040" cy="6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54BABF7" w14:textId="77777777" w:rsidR="00034730" w:rsidRDefault="00474D7C">
                            <w:pPr>
                              <w:spacing w:line="240" w:lineRule="atLeast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15"/>
                                <w:szCs w:val="15"/>
                              </w:rPr>
                              <w:t>ESTADO DO RIO GRANDE DO SUL</w:t>
                            </w:r>
                          </w:p>
                          <w:p w14:paraId="454BABF8" w14:textId="77777777" w:rsidR="00034730" w:rsidRDefault="00474D7C">
                            <w:pPr>
                              <w:spacing w:line="240" w:lineRule="atLeast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1"/>
                                <w:szCs w:val="21"/>
                              </w:rPr>
                              <w:t>PODER EXECUTIVO</w:t>
                            </w:r>
                          </w:p>
                          <w:p w14:paraId="454BABF9" w14:textId="77777777" w:rsidR="00034730" w:rsidRDefault="00474D7C">
                            <w:pPr>
                              <w:spacing w:line="240" w:lineRule="atLeast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COMISSÃO MISTA DE REAVALIAÇÃO DE INFORMAÇÕES – CMRI/RS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421814" name="Picture 7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628560" cy="913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4BABF5" id="Group 5" o:spid="_x0000_s1026" style="position:absolute;left:0;text-align:left;margin-left:153.3pt;margin-top:45.15pt;width:269.35pt;height:1in;z-index:-503316466;mso-wrap-distance-left:.3pt;mso-wrap-distance-top:.15pt;mso-wrap-distance-right:0;mso-position-horizontal-relative:page;mso-position-vertical-relative:page" coordorigin="19468,5734" coordsize="34200,91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" o:allowincell="f" o:allowoverlap="f">
              <v:rect id="Retângulo 571138853" o:spid="_x0000_s1027" style="position:absolute;left:7149;top:1414;width:27051;height:6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" stroked="f" strokeweight="0">
                <v:textbox inset="0,0,0,0">
                  <w:txbxContent>
                    <w:p w14:paraId="454BABF7" w14:textId="77777777" w:rsidR="00034730" w:rsidRDefault="00474D7C">
                      <w:pPr>
                        <w:spacing w:line="240" w:lineRule="atLeast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  <w:sz w:val="15"/>
                          <w:szCs w:val="15"/>
                        </w:rPr>
                        <w:t>ESTADO DO RIO GRANDE DO SUL</w:t>
                      </w:r>
                    </w:p>
                    <w:p w14:paraId="454BABF8" w14:textId="77777777" w:rsidR="00034730" w:rsidRDefault="00474D7C">
                      <w:pPr>
                        <w:spacing w:line="240" w:lineRule="atLeast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  <w:sz w:val="21"/>
                          <w:szCs w:val="21"/>
                        </w:rPr>
                        <w:t>PODER EXECUTIVO</w:t>
                      </w:r>
                    </w:p>
                    <w:p w14:paraId="454BABF9" w14:textId="77777777" w:rsidR="00034730" w:rsidRDefault="00474D7C">
                      <w:pPr>
                        <w:spacing w:line="240" w:lineRule="atLeast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COMISSÃO MISTA DE REAVALIAÇÃO DE INFORMAÇÕES – CMRI/RS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width:6285;height:9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" strokeweight="0">
                <v:imagedata r:id="rId2" o:title=""/>
              </v:shape>
              <w10:wrap anchorx="page" anchory="page"/>
            </v:group>
          </w:pict>
        </mc:Fallback>
      </mc:AlternateContent>
    </w:r>
  </w:p>
  <w:p w14:paraId="454BABEB" w14:textId="77777777" w:rsidR="00034730" w:rsidRDefault="00034730">
    <w:pPr>
      <w:pStyle w:val="Cabealho"/>
      <w:jc w:val="center"/>
    </w:pPr>
  </w:p>
  <w:p w14:paraId="454BABEC" w14:textId="77777777" w:rsidR="00034730" w:rsidRDefault="00034730">
    <w:pPr>
      <w:pStyle w:val="Cabealho"/>
    </w:pPr>
  </w:p>
  <w:p w14:paraId="454BABED" w14:textId="77777777" w:rsidR="00034730" w:rsidRDefault="00034730">
    <w:pPr>
      <w:pStyle w:val="Cabealho"/>
    </w:pPr>
  </w:p>
  <w:p w14:paraId="454BABEE" w14:textId="77777777" w:rsidR="00034730" w:rsidRDefault="00034730">
    <w:pPr>
      <w:pStyle w:val="Cabealho"/>
    </w:pPr>
  </w:p>
  <w:p w14:paraId="454BABEF" w14:textId="77777777" w:rsidR="00034730" w:rsidRDefault="00474D7C">
    <w:pPr>
      <w:pStyle w:val="Cabealho"/>
    </w:pPr>
    <w:r>
      <w:t>SSPS</w:t>
    </w:r>
  </w:p>
  <w:p w14:paraId="454BABF0" w14:textId="77777777" w:rsidR="00034730" w:rsidRDefault="00474D7C">
    <w:pPr>
      <w:pStyle w:val="Cabealho"/>
    </w:pPr>
    <w:r>
      <w:t>decisão Nº 004/2026</w:t>
    </w:r>
  </w:p>
  <w:p w14:paraId="454BABF1" w14:textId="77777777" w:rsidR="00034730" w:rsidRDefault="00474D7C">
    <w:pPr>
      <w:pStyle w:val="Cabealho"/>
      <w:tabs>
        <w:tab w:val="right" w:pos="8460"/>
      </w:tabs>
      <w:rPr>
        <w:color w:val="auto"/>
      </w:rPr>
    </w:pPr>
    <w:r>
      <w:rPr>
        <w:color w:val="auto"/>
      </w:rPr>
      <w:t>2026/SEDUR</w:t>
    </w:r>
  </w:p>
  <w:p w14:paraId="454BABF2" w14:textId="77777777" w:rsidR="00034730" w:rsidRDefault="00034730">
    <w:pPr>
      <w:pStyle w:val="Cabealho"/>
      <w:tabs>
        <w:tab w:val="right" w:pos="84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30"/>
    <w:rsid w:val="00034730"/>
    <w:rsid w:val="00144ECC"/>
    <w:rsid w:val="00282A73"/>
    <w:rsid w:val="00474D7C"/>
    <w:rsid w:val="00491E19"/>
    <w:rsid w:val="004E5DCA"/>
    <w:rsid w:val="00641757"/>
    <w:rsid w:val="007953BE"/>
    <w:rsid w:val="009456C9"/>
    <w:rsid w:val="00DD506A"/>
    <w:rsid w:val="00ED4EAD"/>
    <w:rsid w:val="00FD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ABA0"/>
  <w15:docId w15:val="{2CA37433-EC6C-464C-99A0-50D159D9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 w:cs="Arial"/>
      <w:color w:val="00000A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spacing w:before="960" w:after="960"/>
      <w:jc w:val="center"/>
      <w:outlineLvl w:val="0"/>
    </w:pPr>
    <w:rPr>
      <w:b/>
      <w:bCs/>
      <w:spacing w:val="60"/>
      <w:w w:val="150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color w:val="FF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120"/>
      <w:ind w:firstLine="3402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</w:style>
  <w:style w:type="character" w:customStyle="1" w:styleId="textogeral1">
    <w:name w:val="texto_geral1"/>
    <w:qFormat/>
    <w:rPr>
      <w:rFonts w:ascii="Arial" w:hAnsi="Arial" w:cs="Arial"/>
      <w:color w:val="000000"/>
      <w:sz w:val="24"/>
      <w:szCs w:val="24"/>
    </w:rPr>
  </w:style>
  <w:style w:type="character" w:customStyle="1" w:styleId="PargrafoNormalCharCharChar">
    <w:name w:val="Parágrafo Normal Char Char Char"/>
    <w:qFormat/>
    <w:rPr>
      <w:rFonts w:ascii="Arial" w:hAnsi="Arial" w:cs="Arial"/>
      <w:sz w:val="24"/>
      <w:szCs w:val="24"/>
      <w:lang w:val="pt-BR" w:eastAsia="pt-BR" w:bidi="ar-SA"/>
    </w:rPr>
  </w:style>
  <w:style w:type="character" w:customStyle="1" w:styleId="PargrafoNormalCharChar1">
    <w:name w:val="Parágrafo Normal Char Char1"/>
    <w:qFormat/>
    <w:rPr>
      <w:rFonts w:ascii="Arial" w:hAnsi="Arial" w:cs="Arial"/>
      <w:sz w:val="24"/>
      <w:szCs w:val="24"/>
      <w:lang w:val="pt-BR" w:eastAsia="pt-BR" w:bidi="ar-SA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customStyle="1" w:styleId="Caracteresdenotadefim">
    <w:name w:val="Caracteres de nota de fim"/>
    <w:qFormat/>
  </w:style>
  <w:style w:type="character" w:customStyle="1" w:styleId="nfaseforte">
    <w:name w:val="Ênfase forte"/>
    <w:qFormat/>
    <w:rPr>
      <w:b/>
      <w:bCs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qFormat/>
    <w:rPr>
      <w:rFonts w:ascii="Arial" w:hAnsi="Arial" w:cs="Arial"/>
      <w:color w:val="00000A"/>
    </w:rPr>
  </w:style>
  <w:style w:type="character" w:customStyle="1" w:styleId="AssuntodocomentrioChar">
    <w:name w:val="Assunto do comentário Char"/>
    <w:basedOn w:val="TextodecomentrioChar"/>
    <w:qFormat/>
    <w:rPr>
      <w:rFonts w:ascii="Arial" w:hAnsi="Arial" w:cs="Arial"/>
      <w:b/>
      <w:bCs/>
      <w:color w:val="00000A"/>
    </w:rPr>
  </w:style>
  <w:style w:type="character" w:customStyle="1" w:styleId="AssinaturaChar">
    <w:name w:val="Assinatura Char"/>
    <w:basedOn w:val="Fontepargpadro"/>
    <w:qFormat/>
    <w:rPr>
      <w:rFonts w:ascii="Arial" w:hAnsi="Arial" w:cs="Arial"/>
      <w:b/>
      <w:bCs/>
      <w:caps/>
      <w:color w:val="00000A"/>
      <w:sz w:val="22"/>
      <w:szCs w:val="22"/>
    </w:rPr>
  </w:style>
  <w:style w:type="character" w:customStyle="1" w:styleId="CitaoChar">
    <w:name w:val="Citação Char"/>
    <w:basedOn w:val="Fontepargpadro"/>
    <w:qFormat/>
    <w:rPr>
      <w:rFonts w:ascii="Arial" w:hAnsi="Arial" w:cs="Arial"/>
      <w:i/>
      <w:iCs/>
      <w:color w:val="00000A"/>
      <w:sz w:val="22"/>
      <w:szCs w:val="22"/>
    </w:rPr>
  </w:style>
  <w:style w:type="character" w:customStyle="1" w:styleId="CabealhoChar">
    <w:name w:val="Cabeçalho Char"/>
    <w:basedOn w:val="Fontepargpadro"/>
    <w:qFormat/>
    <w:rPr>
      <w:rFonts w:ascii="Arial" w:hAnsi="Arial" w:cs="Arial"/>
      <w:caps/>
      <w:color w:val="00000A"/>
      <w:sz w:val="22"/>
      <w:szCs w:val="22"/>
    </w:rPr>
  </w:style>
  <w:style w:type="character" w:customStyle="1" w:styleId="RodapChar">
    <w:name w:val="Rodapé Char"/>
    <w:basedOn w:val="Fontepargpadro"/>
    <w:qFormat/>
    <w:rPr>
      <w:rFonts w:ascii="Arial" w:hAnsi="Arial" w:cs="Arial"/>
      <w:color w:val="00000A"/>
      <w:sz w:val="24"/>
      <w:szCs w:val="24"/>
    </w:rPr>
  </w:style>
  <w:style w:type="character" w:customStyle="1" w:styleId="TextodenotadefimChar">
    <w:name w:val="Texto de nota de fim Char"/>
    <w:basedOn w:val="Fontepargpadro"/>
    <w:qFormat/>
    <w:rPr>
      <w:rFonts w:ascii="Arial" w:hAnsi="Arial" w:cs="Arial"/>
      <w:color w:val="00000A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EndnoteCharacters">
    <w:name w:val="Endnote Characters"/>
    <w:basedOn w:val="Fontepargpadro"/>
    <w:qFormat/>
    <w:rPr>
      <w:vertAlign w:val="superscript"/>
    </w:rPr>
  </w:style>
  <w:style w:type="character" w:customStyle="1" w:styleId="TextodenotaderodapChar">
    <w:name w:val="Texto de nota de rodapé Char"/>
    <w:basedOn w:val="Fontepargpadro"/>
    <w:qFormat/>
    <w:rPr>
      <w:rFonts w:ascii="Arial" w:hAnsi="Arial" w:cs="Arial"/>
      <w:color w:val="00000A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qFormat/>
    <w:rPr>
      <w:vertAlign w:val="superscript"/>
    </w:rPr>
  </w:style>
  <w:style w:type="character" w:customStyle="1" w:styleId="Caracteresdenotaderodap">
    <w:name w:val="Caracteres de nota de rodapé"/>
    <w:qFormat/>
  </w:style>
  <w:style w:type="character" w:customStyle="1" w:styleId="Smbolosdenumerao">
    <w:name w:val="Símbolos de numeração"/>
    <w:qFormat/>
  </w:style>
  <w:style w:type="paragraph" w:styleId="Ttulo">
    <w:name w:val="Title"/>
    <w:basedOn w:val="Normal"/>
    <w:next w:val="Corpodetexto"/>
    <w:uiPriority w:val="10"/>
    <w:qFormat/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Assinatura">
    <w:name w:val="Signature"/>
    <w:basedOn w:val="Normal"/>
    <w:pPr>
      <w:jc w:val="center"/>
    </w:pPr>
    <w:rPr>
      <w:b/>
      <w:bCs/>
      <w:caps/>
      <w:sz w:val="22"/>
      <w:szCs w:val="22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caps/>
      <w:sz w:val="22"/>
      <w:szCs w:val="22"/>
    </w:rPr>
  </w:style>
  <w:style w:type="paragraph" w:customStyle="1" w:styleId="DadosCadastrais">
    <w:name w:val="Dados Cadastrais"/>
    <w:basedOn w:val="Normal"/>
    <w:qFormat/>
    <w:pPr>
      <w:tabs>
        <w:tab w:val="right" w:pos="8505"/>
      </w:tabs>
    </w:pPr>
    <w:rPr>
      <w:caps/>
    </w:rPr>
  </w:style>
  <w:style w:type="paragraph" w:customStyle="1" w:styleId="Ementa-Ttulo">
    <w:name w:val="Ementa - Título"/>
    <w:basedOn w:val="Normal"/>
    <w:qFormat/>
    <w:pPr>
      <w:ind w:left="2835"/>
    </w:pPr>
    <w:rPr>
      <w:b/>
      <w:bCs/>
      <w:caps/>
      <w:sz w:val="22"/>
      <w:szCs w:val="22"/>
    </w:rPr>
  </w:style>
  <w:style w:type="paragraph" w:customStyle="1" w:styleId="JulgadorDecisorde1Grau">
    <w:name w:val="Julgador Decisor de 1º Grau"/>
    <w:basedOn w:val="Normal"/>
    <w:qFormat/>
  </w:style>
  <w:style w:type="paragraph" w:styleId="Rodap">
    <w:name w:val="footer"/>
    <w:basedOn w:val="Normal"/>
    <w:pPr>
      <w:tabs>
        <w:tab w:val="center" w:pos="4253"/>
        <w:tab w:val="right" w:pos="8505"/>
      </w:tabs>
    </w:pPr>
  </w:style>
  <w:style w:type="paragraph" w:customStyle="1" w:styleId="TtuloPrincipal">
    <w:name w:val="Título Principal"/>
    <w:basedOn w:val="Ttulo1"/>
    <w:qFormat/>
    <w:pPr>
      <w:spacing w:before="240" w:after="60" w:line="360" w:lineRule="auto"/>
      <w:outlineLvl w:val="9"/>
    </w:pPr>
    <w:rPr>
      <w:sz w:val="28"/>
      <w:szCs w:val="28"/>
    </w:rPr>
  </w:style>
  <w:style w:type="paragraph" w:styleId="Citao">
    <w:name w:val="Quote"/>
    <w:basedOn w:val="Normal"/>
    <w:qFormat/>
    <w:pPr>
      <w:spacing w:after="60"/>
      <w:ind w:left="2835"/>
    </w:pPr>
    <w:rPr>
      <w:i/>
      <w:iCs/>
      <w:sz w:val="22"/>
      <w:szCs w:val="22"/>
    </w:rPr>
  </w:style>
  <w:style w:type="paragraph" w:customStyle="1" w:styleId="CitaodeCitao">
    <w:name w:val="Citação de Citação"/>
    <w:basedOn w:val="Citao"/>
    <w:qFormat/>
    <w:pPr>
      <w:ind w:left="4253"/>
    </w:pPr>
  </w:style>
  <w:style w:type="paragraph" w:customStyle="1" w:styleId="Ementa-Corpo">
    <w:name w:val="Ementa - Corpo"/>
    <w:basedOn w:val="CitaodeCitao"/>
    <w:qFormat/>
    <w:pPr>
      <w:spacing w:after="0"/>
      <w:ind w:left="2835"/>
    </w:pPr>
    <w:rPr>
      <w:b/>
      <w:bCs/>
      <w:i w:val="0"/>
      <w:iCs w:val="0"/>
    </w:rPr>
  </w:style>
  <w:style w:type="paragraph" w:customStyle="1" w:styleId="Transcrio-dennciaeoutros">
    <w:name w:val="Transcrição - denúncia e outros"/>
    <w:basedOn w:val="Normal"/>
    <w:qFormat/>
    <w:pPr>
      <w:ind w:left="1134" w:firstLine="567"/>
    </w:pPr>
    <w:rPr>
      <w:i/>
      <w:iCs/>
    </w:rPr>
  </w:style>
  <w:style w:type="paragraph" w:customStyle="1" w:styleId="PargrafoNormal">
    <w:name w:val="Parágrafo Normal"/>
    <w:basedOn w:val="Normal"/>
    <w:qFormat/>
    <w:pPr>
      <w:spacing w:after="60" w:line="360" w:lineRule="auto"/>
      <w:ind w:firstLine="1418"/>
    </w:pPr>
  </w:style>
  <w:style w:type="paragraph" w:customStyle="1" w:styleId="NomeJulgadorPadro">
    <w:name w:val="Nome Julgador Padrão"/>
    <w:basedOn w:val="Normal"/>
    <w:qFormat/>
    <w:pPr>
      <w:spacing w:after="60" w:line="360" w:lineRule="auto"/>
    </w:pPr>
    <w:rPr>
      <w:b/>
      <w:bCs/>
      <w:caps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padro">
    <w:name w:val="padrão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ind w:right="6" w:firstLine="1582"/>
      <w:jc w:val="both"/>
    </w:pPr>
    <w:rPr>
      <w:color w:val="000000"/>
      <w:sz w:val="24"/>
    </w:rPr>
  </w:style>
  <w:style w:type="paragraph" w:styleId="TextosemFormatao">
    <w:name w:val="Plain Text"/>
    <w:basedOn w:val="Normal"/>
    <w:qFormat/>
    <w:pPr>
      <w:jc w:val="left"/>
    </w:pPr>
    <w:rPr>
      <w:rFonts w:ascii="Courier New" w:hAnsi="Courier New" w:cs="Times New Roman"/>
      <w:sz w:val="20"/>
      <w:szCs w:val="20"/>
    </w:rPr>
  </w:style>
  <w:style w:type="paragraph" w:customStyle="1" w:styleId="PargrafoNormalCharChar">
    <w:name w:val="Parágrafo Normal Char Char"/>
    <w:basedOn w:val="Normal"/>
    <w:qFormat/>
    <w:pPr>
      <w:spacing w:after="60" w:line="360" w:lineRule="auto"/>
      <w:ind w:firstLine="1418"/>
    </w:pPr>
  </w:style>
  <w:style w:type="paragraph" w:customStyle="1" w:styleId="PargrafoNormalChar">
    <w:name w:val="Parágrafo Normal Char"/>
    <w:basedOn w:val="Normal"/>
    <w:qFormat/>
    <w:pPr>
      <w:spacing w:after="60" w:line="360" w:lineRule="auto"/>
      <w:ind w:firstLine="1418"/>
    </w:p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Contedodoquadro">
    <w:name w:val="Conteúdo do quadro"/>
    <w:basedOn w:val="Normal"/>
    <w:qFormat/>
  </w:style>
  <w:style w:type="paragraph" w:customStyle="1" w:styleId="Citaes">
    <w:name w:val="Citações"/>
    <w:basedOn w:val="Normal"/>
    <w:qFormat/>
  </w:style>
  <w:style w:type="paragraph" w:styleId="Subttulo">
    <w:name w:val="Subtitle"/>
    <w:basedOn w:val="Ttulo"/>
    <w:uiPriority w:val="11"/>
    <w:qFormat/>
  </w:style>
  <w:style w:type="paragraph" w:styleId="Textodecomentrio">
    <w:name w:val="annotation text"/>
    <w:basedOn w:val="Normal"/>
    <w:qFormat/>
    <w:rPr>
      <w:sz w:val="20"/>
      <w:szCs w:val="20"/>
    </w:rPr>
  </w:style>
  <w:style w:type="paragraph" w:styleId="Assuntodocomentrio">
    <w:name w:val="annotation subject"/>
    <w:basedOn w:val="Textodecomentrio"/>
    <w:qFormat/>
    <w:rPr>
      <w:b/>
      <w:bCs/>
    </w:rPr>
  </w:style>
  <w:style w:type="paragraph" w:styleId="Textodenotadefim">
    <w:name w:val="endnote text"/>
    <w:basedOn w:val="Normal"/>
    <w:rPr>
      <w:sz w:val="20"/>
      <w:szCs w:val="20"/>
    </w:rPr>
  </w:style>
  <w:style w:type="paragraph" w:styleId="Textodenotaderodap">
    <w:name w:val="footnote text"/>
    <w:basedOn w:val="Normal"/>
    <w:rPr>
      <w:sz w:val="20"/>
      <w:szCs w:val="20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13</Pages>
  <Words>4658</Words>
  <Characters>25158</Characters>
  <Application>Microsoft Office Word</Application>
  <DocSecurity>0</DocSecurity>
  <Lines>209</Lines>
  <Paragraphs>59</Paragraphs>
  <ScaleCrop>false</ScaleCrop>
  <Company>Tribunal de Justiça</Company>
  <LinksUpToDate>false</LinksUpToDate>
  <CharactersWithSpaces>29757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&lt;NÚMERODETOKENSNODOCUMENTO \18&gt;&lt;COMPOSIÇÃODEACÓRDÃOEMENTA \TEXTO="(INSIRA AQUI O TÍTULO DA EMENTA)^P^P(Insira aqui o texto da</dc:title>
  <dc:subject/>
  <dc:creator>Tribunal de Justiça</dc:creator>
  <dc:description/>
  <cp:lastModifiedBy>Liliana da Silva Barcellos</cp:lastModifiedBy>
  <cp:revision>24</cp:revision>
  <cp:lastPrinted>2004-02-18T20:05:00Z</cp:lastPrinted>
  <dcterms:created xsi:type="dcterms:W3CDTF">2026-07-24T16:20:00Z</dcterms:created>
  <dcterms:modified xsi:type="dcterms:W3CDTF">2026-08-10T18:58:00Z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